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3CAECEDF" w:rsidR="00794663" w:rsidRDefault="00421C80" w:rsidP="00C67B95">
      <w:r>
        <w:rPr>
          <w:noProof/>
        </w:rPr>
        <w:drawing>
          <wp:inline distT="0" distB="0" distL="0" distR="0" wp14:anchorId="6B5CF445" wp14:editId="6813E10B">
            <wp:extent cx="4572000" cy="628650"/>
            <wp:effectExtent l="0" t="0" r="0" b="0"/>
            <wp:docPr id="414102056" name="Picture 4141020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02056" name="Picture 41410205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628650"/>
                    </a:xfrm>
                    <a:prstGeom prst="rect">
                      <a:avLst/>
                    </a:prstGeom>
                  </pic:spPr>
                </pic:pic>
              </a:graphicData>
            </a:graphic>
          </wp:inline>
        </w:drawing>
      </w:r>
    </w:p>
    <w:p w14:paraId="19431216" w14:textId="3D42565E" w:rsidR="00421C80" w:rsidRDefault="000A0F39" w:rsidP="00C67B95">
      <w:r>
        <w:rPr>
          <w:noProof/>
        </w:rPr>
        <w:drawing>
          <wp:inline distT="0" distB="0" distL="0" distR="0" wp14:anchorId="34F832B5" wp14:editId="30BE2C70">
            <wp:extent cx="2152650" cy="779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779400"/>
                    </a:xfrm>
                    <a:prstGeom prst="rect">
                      <a:avLst/>
                    </a:prstGeom>
                  </pic:spPr>
                </pic:pic>
              </a:graphicData>
            </a:graphic>
          </wp:inline>
        </w:drawing>
      </w:r>
    </w:p>
    <w:p w14:paraId="529CC9BD" w14:textId="249C640D" w:rsidR="00967B34" w:rsidRPr="00967B34" w:rsidRDefault="00967B34" w:rsidP="00C67B95">
      <w:pPr>
        <w:tabs>
          <w:tab w:val="left" w:pos="3320"/>
        </w:tabs>
        <w:rPr>
          <w:b/>
          <w:bCs/>
        </w:rPr>
      </w:pPr>
      <w:r w:rsidRPr="00967B34">
        <w:rPr>
          <w:b/>
          <w:bCs/>
        </w:rPr>
        <w:t xml:space="preserve">Exciting </w:t>
      </w:r>
      <w:hyperlink r:id="rId13"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603562E2" w14:textId="7B1F669E" w:rsidR="009D4134" w:rsidRPr="009C3C63" w:rsidRDefault="00B6135A" w:rsidP="009D4134">
      <w:pPr>
        <w:rPr>
          <w:rFonts w:ascii="Calibri" w:hAnsi="Calibri" w:cs="Calibri"/>
        </w:rPr>
      </w:pPr>
      <w:r>
        <w:rPr>
          <w:b/>
          <w:bCs/>
        </w:rPr>
        <w:t>Project title:</w:t>
      </w:r>
      <w:r w:rsidR="00E366EC">
        <w:rPr>
          <w:b/>
          <w:bCs/>
        </w:rPr>
        <w:t xml:space="preserve"> </w:t>
      </w:r>
      <w:r w:rsidR="009D4134">
        <w:rPr>
          <w:rFonts w:ascii="Calibri" w:hAnsi="Calibri" w:cs="Calibri"/>
        </w:rPr>
        <w:t>Cu and Al current collector corrosion in state-of-the-art Li-ion battery coin cells</w:t>
      </w:r>
    </w:p>
    <w:p w14:paraId="132E59C8" w14:textId="72BDCC1D" w:rsidR="001F4FF5" w:rsidRDefault="001F4FF5" w:rsidP="00C67B95">
      <w:pPr>
        <w:tabs>
          <w:tab w:val="left" w:pos="3320"/>
        </w:tabs>
      </w:pPr>
      <w:r>
        <w:rPr>
          <w:b/>
          <w:bCs/>
        </w:rPr>
        <w:t>Project description:</w:t>
      </w:r>
    </w:p>
    <w:p w14:paraId="448117F9" w14:textId="77777777" w:rsidR="009D4134" w:rsidRDefault="009D4134" w:rsidP="009D4134">
      <w:pPr>
        <w:pStyle w:val="Body"/>
      </w:pPr>
      <w:r>
        <w:t>Often overlooked, degradation of the metallic copper and aluminum current collectors can significantly undermine the performance of the Li-ion batteries. Corrosion of these components can increase the ‘dead-weight’ of the cell, lead to the capacity loss, and in worst-case scenarios result in short circuiting of the battery</w:t>
      </w:r>
      <w:r>
        <w:rPr>
          <w:vertAlign w:val="superscript"/>
        </w:rPr>
        <w:t>1</w:t>
      </w:r>
      <w:r>
        <w:t xml:space="preserve">.  NMC811 cathode materials that are used in novel batteries have high theoretical capacity, leading to greater amount of charge being passed through the current collectors per cycle. The effect of the increased capacity in these batteries on corrosion of the current collectors has not been extensively studied. </w:t>
      </w:r>
    </w:p>
    <w:p w14:paraId="2781885F" w14:textId="77777777" w:rsidR="009D4134" w:rsidRDefault="009D4134" w:rsidP="009D4134">
      <w:pPr>
        <w:pStyle w:val="Body"/>
      </w:pPr>
    </w:p>
    <w:p w14:paraId="2F5960FB" w14:textId="77777777" w:rsidR="009D4134" w:rsidRDefault="009D4134" w:rsidP="009D4134">
      <w:pPr>
        <w:pStyle w:val="Body"/>
      </w:pPr>
      <w:r>
        <w:t xml:space="preserve">This project will focus on studying the interface between the metallic current collectors and battery electrodes using advanced materials characterisation techniques. The corrosion of the current collectors </w:t>
      </w:r>
      <w:r>
        <w:rPr>
          <w:i/>
          <w:iCs/>
        </w:rPr>
        <w:t xml:space="preserve">versus </w:t>
      </w:r>
      <w:r>
        <w:t xml:space="preserve">charging rates will be elucidated.   </w:t>
      </w:r>
    </w:p>
    <w:p w14:paraId="12EA4711" w14:textId="77777777" w:rsidR="009D4134" w:rsidRDefault="009D4134" w:rsidP="009D4134">
      <w:pPr>
        <w:pStyle w:val="Body"/>
      </w:pPr>
    </w:p>
    <w:p w14:paraId="69C91ACA" w14:textId="40B50E66" w:rsidR="001F4FF5" w:rsidRDefault="009D4134" w:rsidP="009D4134">
      <w:pPr>
        <w:tabs>
          <w:tab w:val="left" w:pos="3320"/>
        </w:tabs>
        <w:rPr>
          <w:color w:val="767171" w:themeColor="background2" w:themeShade="80"/>
        </w:rPr>
      </w:pPr>
      <w:r>
        <w:rPr>
          <w:vertAlign w:val="superscript"/>
        </w:rPr>
        <w:t xml:space="preserve">1 </w:t>
      </w:r>
      <w:r>
        <w:rPr>
          <w:rFonts w:ascii="Segoe UI" w:hAnsi="Segoe UI" w:cs="Segoe UI"/>
          <w:color w:val="333333"/>
          <w:sz w:val="21"/>
          <w:szCs w:val="21"/>
        </w:rPr>
        <w:t>Liya Guo </w:t>
      </w:r>
      <w:r>
        <w:rPr>
          <w:rStyle w:val="Emphasis"/>
          <w:rFonts w:ascii="Segoe UI" w:hAnsi="Segoe UI" w:cs="Segoe UI"/>
          <w:color w:val="333333"/>
          <w:sz w:val="21"/>
          <w:szCs w:val="21"/>
          <w:bdr w:val="none" w:sz="0" w:space="0" w:color="auto" w:frame="1"/>
        </w:rPr>
        <w:t>et al</w:t>
      </w:r>
      <w:r>
        <w:rPr>
          <w:rFonts w:ascii="Segoe UI" w:hAnsi="Segoe UI" w:cs="Segoe UI"/>
          <w:color w:val="333333"/>
          <w:sz w:val="21"/>
          <w:szCs w:val="21"/>
        </w:rPr>
        <w:t> 2021 </w:t>
      </w:r>
      <w:r>
        <w:rPr>
          <w:rStyle w:val="Emphasis"/>
          <w:rFonts w:ascii="Segoe UI" w:hAnsi="Segoe UI" w:cs="Segoe UI"/>
          <w:color w:val="333333"/>
          <w:sz w:val="21"/>
          <w:szCs w:val="21"/>
          <w:bdr w:val="none" w:sz="0" w:space="0" w:color="auto" w:frame="1"/>
        </w:rPr>
        <w:t>J. Phys. Energy</w:t>
      </w:r>
      <w:r>
        <w:rPr>
          <w:rFonts w:ascii="Segoe UI" w:hAnsi="Segoe UI" w:cs="Segoe UI"/>
          <w:color w:val="333333"/>
          <w:sz w:val="21"/>
          <w:szCs w:val="21"/>
        </w:rPr>
        <w:t> </w:t>
      </w:r>
      <w:r>
        <w:rPr>
          <w:rFonts w:ascii="Segoe UI" w:hAnsi="Segoe UI" w:cs="Segoe UI"/>
          <w:b/>
          <w:bCs/>
          <w:color w:val="333333"/>
          <w:sz w:val="21"/>
          <w:szCs w:val="21"/>
          <w:bdr w:val="none" w:sz="0" w:space="0" w:color="auto" w:frame="1"/>
        </w:rPr>
        <w:t>3</w:t>
      </w:r>
      <w:r>
        <w:rPr>
          <w:rFonts w:ascii="Segoe UI" w:hAnsi="Segoe UI" w:cs="Segoe UI"/>
          <w:color w:val="333333"/>
          <w:sz w:val="21"/>
          <w:szCs w:val="21"/>
        </w:rPr>
        <w:t> 032015</w:t>
      </w:r>
    </w:p>
    <w:p w14:paraId="2F17B296" w14:textId="48C15182" w:rsidR="001F4FF5" w:rsidRPr="00E366EC" w:rsidRDefault="001F4FF5" w:rsidP="00C67B95">
      <w:pPr>
        <w:tabs>
          <w:tab w:val="left" w:pos="3320"/>
        </w:tabs>
        <w:rPr>
          <w:color w:val="767171" w:themeColor="background2" w:themeShade="80"/>
        </w:rPr>
      </w:pPr>
      <w:r>
        <w:rPr>
          <w:b/>
          <w:bCs/>
        </w:rPr>
        <w:t>Supervisor:</w:t>
      </w:r>
      <w:r w:rsidR="009D4134" w:rsidRPr="009D4134">
        <w:rPr>
          <w:rFonts w:ascii="Calibri" w:hAnsi="Calibri" w:cs="Calibri"/>
        </w:rPr>
        <w:t xml:space="preserve"> </w:t>
      </w:r>
      <w:r w:rsidR="009D4134">
        <w:rPr>
          <w:rFonts w:ascii="Calibri" w:hAnsi="Calibri" w:cs="Calibri"/>
        </w:rPr>
        <w:t>Dr Aigerim Omirkhan/Prof Mary Ryan</w:t>
      </w:r>
    </w:p>
    <w:p w14:paraId="3DF38211" w14:textId="1EF01E51" w:rsidR="005848DC" w:rsidRPr="005848DC" w:rsidRDefault="005848DC" w:rsidP="00C67B95">
      <w:pPr>
        <w:tabs>
          <w:tab w:val="left" w:pos="3320"/>
        </w:tabs>
        <w:rPr>
          <w:b/>
          <w:bCs/>
        </w:rPr>
      </w:pPr>
      <w:r>
        <w:rPr>
          <w:b/>
          <w:bCs/>
        </w:rPr>
        <w:t>University:</w:t>
      </w:r>
      <w:r w:rsidR="00E366EC">
        <w:rPr>
          <w:b/>
          <w:bCs/>
        </w:rPr>
        <w:t xml:space="preserve"> </w:t>
      </w:r>
      <w:r w:rsidR="009D4134" w:rsidRPr="004F6C9C">
        <w:t>Imperial College London</w:t>
      </w:r>
      <w:r w:rsidR="00AE39D4">
        <w:t>, Department of Materials</w:t>
      </w:r>
    </w:p>
    <w:p w14:paraId="10CD05B4" w14:textId="3CA8DE82" w:rsidR="005848DC" w:rsidRPr="00E366EC" w:rsidRDefault="005848DC" w:rsidP="00C67B95">
      <w:pPr>
        <w:tabs>
          <w:tab w:val="left" w:pos="3320"/>
        </w:tabs>
        <w:rPr>
          <w:i/>
          <w:iCs/>
          <w:color w:val="767171" w:themeColor="background2" w:themeShade="80"/>
        </w:rPr>
      </w:pPr>
      <w:r>
        <w:rPr>
          <w:b/>
          <w:bCs/>
        </w:rPr>
        <w:t xml:space="preserve">Location: </w:t>
      </w:r>
      <w:r w:rsidR="009D4134" w:rsidRPr="004F6C9C">
        <w:rPr>
          <w:i/>
          <w:iCs/>
        </w:rPr>
        <w:t>South Kensington Campus, in-person</w:t>
      </w:r>
    </w:p>
    <w:p w14:paraId="6CEF53A6" w14:textId="5975A3DC"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00D979CD">
        <w:rPr>
          <w:rFonts w:ascii="Calibri" w:hAnsi="Calibri" w:cs="Calibri"/>
          <w:color w:val="000000"/>
        </w:rPr>
        <w:t>with flexible date</w:t>
      </w:r>
      <w:r w:rsidR="003975FA">
        <w:rPr>
          <w:rFonts w:ascii="Calibri" w:hAnsi="Calibri" w:cs="Calibri"/>
          <w:color w:val="000000"/>
        </w:rPr>
        <w:t>s</w:t>
      </w:r>
      <w:r w:rsidR="00D979CD">
        <w:rPr>
          <w:rFonts w:ascii="Calibri" w:hAnsi="Calibri" w:cs="Calibri"/>
          <w:color w:val="000000"/>
        </w:rPr>
        <w:t xml:space="preserve"> within </w:t>
      </w:r>
      <w:r w:rsidRPr="00D979CD">
        <w:rPr>
          <w:rFonts w:ascii="Calibri" w:hAnsi="Calibri" w:cs="Calibri"/>
        </w:rPr>
        <w:t>June – September 2022.</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4CC9E5F4"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4"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108A5366" w14:textId="77777777" w:rsidR="00F7211B" w:rsidRDefault="00F7211B" w:rsidP="002719FC">
      <w:pPr>
        <w:autoSpaceDE w:val="0"/>
        <w:autoSpaceDN w:val="0"/>
        <w:adjustRightInd w:val="0"/>
        <w:spacing w:after="0" w:line="240" w:lineRule="auto"/>
        <w:rPr>
          <w:rFonts w:ascii="Calibri" w:hAnsi="Calibri" w:cs="Calibri"/>
          <w:b/>
          <w:bCs/>
          <w:color w:val="000000"/>
        </w:rPr>
      </w:pPr>
    </w:p>
    <w:p w14:paraId="0F4ABD0A" w14:textId="0ADE630B"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7CA70F5A" w14:textId="77777777" w:rsidR="00C926C2" w:rsidRDefault="00C926C2" w:rsidP="00967B34">
      <w:pPr>
        <w:tabs>
          <w:tab w:val="left" w:pos="3320"/>
        </w:tabs>
        <w:rPr>
          <w:rStyle w:val="Hyperlink"/>
          <w:b/>
          <w:bCs/>
          <w:color w:val="auto"/>
          <w:u w:val="none"/>
        </w:rPr>
      </w:pPr>
    </w:p>
    <w:p w14:paraId="5D9DBF2E" w14:textId="6777DEB1"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42FB9B5A" w:rsidR="000B0511" w:rsidRPr="00B175F8" w:rsidRDefault="00F7211B" w:rsidP="00B175F8">
      <w:pPr>
        <w:ind w:right="95"/>
        <w:rPr>
          <w:i/>
          <w:color w:val="AEAAAA" w:themeColor="background2" w:themeShade="BF"/>
          <w:lang w:val="en-US"/>
        </w:rPr>
      </w:pPr>
      <w:r w:rsidRPr="00FA17E4">
        <w:rPr>
          <w:iCs/>
          <w:lang w:val="en-US"/>
        </w:rPr>
        <w:t>To</w:t>
      </w:r>
      <w:r w:rsidR="00967B34" w:rsidRPr="00FA17E4">
        <w:rPr>
          <w:iCs/>
          <w:lang w:val="en-US"/>
        </w:rPr>
        <w:t xml:space="preserve"> apply for a Faraday </w:t>
      </w:r>
      <w:r w:rsidR="00E37726">
        <w:rPr>
          <w:iCs/>
          <w:lang w:val="en-US"/>
        </w:rPr>
        <w:t xml:space="preserve">Undergraduate Summer Experience (FUSE) </w:t>
      </w:r>
      <w:r w:rsidR="00D6592D">
        <w:rPr>
          <w:iCs/>
          <w:lang w:val="en-US"/>
        </w:rPr>
        <w:t>2022 internship</w:t>
      </w:r>
      <w:r w:rsidR="00967B34" w:rsidRPr="00FA17E4">
        <w:rPr>
          <w:iCs/>
          <w:lang w:val="en-US"/>
        </w:rPr>
        <w:t xml:space="preserve">, </w:t>
      </w:r>
      <w:r w:rsidR="00D02D61">
        <w:rPr>
          <w:iCs/>
          <w:lang w:val="en-US"/>
        </w:rPr>
        <w:t xml:space="preserve">please </w:t>
      </w:r>
      <w:r w:rsidR="002941DD">
        <w:rPr>
          <w:iCs/>
          <w:lang w:val="en-US"/>
        </w:rPr>
        <w:t xml:space="preserve">fill out this </w:t>
      </w:r>
      <w:hyperlink r:id="rId15" w:history="1">
        <w:r w:rsidR="002941DD" w:rsidRPr="00A11DC1">
          <w:rPr>
            <w:rStyle w:val="Hyperlink"/>
            <w:iCs/>
            <w:lang w:val="en-US"/>
          </w:rPr>
          <w:t>surv</w:t>
        </w:r>
        <w:r w:rsidR="002941DD" w:rsidRPr="00A11DC1">
          <w:rPr>
            <w:rStyle w:val="Hyperlink"/>
            <w:iCs/>
            <w:lang w:val="en-US"/>
          </w:rPr>
          <w:t>e</w:t>
        </w:r>
        <w:r w:rsidR="002941DD" w:rsidRPr="00A11DC1">
          <w:rPr>
            <w:rStyle w:val="Hyperlink"/>
            <w:iCs/>
            <w:lang w:val="en-US"/>
          </w:rPr>
          <w:t>y</w:t>
        </w:r>
      </w:hyperlink>
      <w:r w:rsidR="002941DD">
        <w:rPr>
          <w:iCs/>
          <w:lang w:val="en-US"/>
        </w:rPr>
        <w:t xml:space="preserve"> </w:t>
      </w:r>
      <w:r w:rsidR="007F0952">
        <w:rPr>
          <w:iCs/>
          <w:lang w:val="en-US"/>
        </w:rPr>
        <w:t xml:space="preserve">by </w:t>
      </w:r>
      <w:r>
        <w:rPr>
          <w:iCs/>
          <w:lang w:val="en-US"/>
        </w:rPr>
        <w:t xml:space="preserve">the end of </w:t>
      </w:r>
      <w:r w:rsidR="00AA5B86" w:rsidRPr="00AA5B86">
        <w:rPr>
          <w:b/>
          <w:bCs/>
          <w:iCs/>
          <w:lang w:val="en-US"/>
        </w:rPr>
        <w:t>22</w:t>
      </w:r>
      <w:r w:rsidR="00AA5B86" w:rsidRPr="00AA5B86">
        <w:rPr>
          <w:b/>
          <w:bCs/>
          <w:iCs/>
          <w:vertAlign w:val="superscript"/>
          <w:lang w:val="en-US"/>
        </w:rPr>
        <w:t>nd</w:t>
      </w:r>
      <w:r w:rsidR="00AA5B86" w:rsidRPr="00AA5B86">
        <w:rPr>
          <w:b/>
          <w:bCs/>
          <w:iCs/>
          <w:lang w:val="en-US"/>
        </w:rPr>
        <w:t xml:space="preserve"> of April 2022</w:t>
      </w:r>
      <w:r w:rsidR="007F0952">
        <w:rPr>
          <w:iCs/>
          <w:lang w:val="en-US"/>
        </w:rPr>
        <w:t>.</w:t>
      </w:r>
      <w:r w:rsidR="00967B34" w:rsidRPr="00FA17E4">
        <w:rPr>
          <w:iCs/>
          <w:lang w:val="en-US"/>
        </w:rPr>
        <w:t xml:space="preserve"> </w:t>
      </w:r>
    </w:p>
    <w:p w14:paraId="7EF9A0A5" w14:textId="4E82D266" w:rsidR="00FA17E4" w:rsidRDefault="00FA17E4" w:rsidP="00FA17E4">
      <w:pPr>
        <w:tabs>
          <w:tab w:val="left" w:pos="3320"/>
        </w:tabs>
        <w:rPr>
          <w:b/>
          <w:bCs/>
        </w:rPr>
      </w:pPr>
      <w:r>
        <w:rPr>
          <w:b/>
          <w:bCs/>
        </w:rPr>
        <w:t>Diversity</w:t>
      </w:r>
    </w:p>
    <w:p w14:paraId="0BCE8540" w14:textId="16357109" w:rsidR="00FA17E4" w:rsidRDefault="00FA17E4" w:rsidP="00FA17E4">
      <w:pPr>
        <w:tabs>
          <w:tab w:val="left" w:pos="3320"/>
        </w:tabs>
      </w:pPr>
      <w:r>
        <w:t>The Faraday Institution is committed to creating a dynamic and diverse pool of talent for the fields of battery technology and energy storage.</w:t>
      </w:r>
      <w:r w:rsidR="007F0952">
        <w:t xml:space="preserve"> </w:t>
      </w:r>
    </w:p>
    <w:p w14:paraId="37353428" w14:textId="77777777" w:rsidR="00132D6E" w:rsidRDefault="00A86236" w:rsidP="00A86236">
      <w:pPr>
        <w:tabs>
          <w:tab w:val="left" w:pos="3320"/>
        </w:tabs>
        <w:rPr>
          <w:rFonts w:ascii="Calibri" w:eastAsia="Calibri" w:hAnsi="Calibri" w:cs="Calibri"/>
          <w:color w:val="161515"/>
        </w:rPr>
      </w:pPr>
      <w:r>
        <w:rPr>
          <w:rFonts w:ascii="Calibri" w:eastAsia="Calibri" w:hAnsi="Calibri" w:cs="Calibri"/>
          <w:color w:val="161515"/>
        </w:rPr>
        <w:t>Imperial College London is committed to equality of opportunity, to eliminating discrimination and to creating an inclusive working environment for all.</w:t>
      </w:r>
    </w:p>
    <w:p w14:paraId="7EEA63FC" w14:textId="0F1EB0C2" w:rsidR="00A86236" w:rsidRDefault="00A86236" w:rsidP="00A86236">
      <w:pPr>
        <w:tabs>
          <w:tab w:val="left" w:pos="3320"/>
        </w:tabs>
        <w:rPr>
          <w:rFonts w:ascii="Calibri" w:eastAsia="Calibri" w:hAnsi="Calibri" w:cs="Calibri"/>
          <w:color w:val="161515"/>
        </w:rPr>
      </w:pPr>
      <w:r>
        <w:rPr>
          <w:rFonts w:ascii="Calibri" w:eastAsia="Calibri" w:hAnsi="Calibri" w:cs="Calibri"/>
          <w:color w:val="161515"/>
        </w:rPr>
        <w:t>We therefore encourage candidates to apply irrespective of age, disability, marriage or civil partnership status, pregnancy or maternity, race, religion and belief, gender identity, sex, or sexual orientation.</w:t>
      </w:r>
    </w:p>
    <w:p w14:paraId="48459344" w14:textId="77777777" w:rsidR="00105D68" w:rsidRDefault="00105D68" w:rsidP="00FA17E4">
      <w:pPr>
        <w:tabs>
          <w:tab w:val="left" w:pos="3320"/>
        </w:tabs>
      </w:pPr>
    </w:p>
    <w:p w14:paraId="11DC47DD" w14:textId="304B1F0A" w:rsidR="00BB28BB" w:rsidRPr="00BB28BB" w:rsidRDefault="00BB28BB" w:rsidP="00FA17E4">
      <w:pPr>
        <w:tabs>
          <w:tab w:val="left" w:pos="3320"/>
        </w:tabs>
        <w:rPr>
          <w:i/>
          <w:iCs/>
          <w:color w:val="7F7F7F" w:themeColor="text1" w:themeTint="80"/>
        </w:rPr>
      </w:pPr>
    </w:p>
    <w:sectPr w:rsidR="00BB28BB" w:rsidRPr="00BB28BB" w:rsidSect="00E366E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4D00" w14:textId="77777777" w:rsidR="00994D6E" w:rsidRDefault="00994D6E" w:rsidP="00F44E5E">
      <w:pPr>
        <w:spacing w:after="0" w:line="240" w:lineRule="auto"/>
      </w:pPr>
      <w:r>
        <w:separator/>
      </w:r>
    </w:p>
  </w:endnote>
  <w:endnote w:type="continuationSeparator" w:id="0">
    <w:p w14:paraId="60C24684" w14:textId="77777777" w:rsidR="00994D6E" w:rsidRDefault="00994D6E"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1ABF" w14:textId="77777777" w:rsidR="00994D6E" w:rsidRDefault="00994D6E" w:rsidP="00F44E5E">
      <w:pPr>
        <w:spacing w:after="0" w:line="240" w:lineRule="auto"/>
      </w:pPr>
      <w:r>
        <w:separator/>
      </w:r>
    </w:p>
  </w:footnote>
  <w:footnote w:type="continuationSeparator" w:id="0">
    <w:p w14:paraId="55E2DA71" w14:textId="77777777" w:rsidR="00994D6E" w:rsidRDefault="00994D6E" w:rsidP="00F4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4878"/>
    <w:rsid w:val="000452FF"/>
    <w:rsid w:val="000A0F39"/>
    <w:rsid w:val="000B0511"/>
    <w:rsid w:val="00105D68"/>
    <w:rsid w:val="00132D6E"/>
    <w:rsid w:val="0013517F"/>
    <w:rsid w:val="001B48D0"/>
    <w:rsid w:val="001D4756"/>
    <w:rsid w:val="001F4FF5"/>
    <w:rsid w:val="0022175B"/>
    <w:rsid w:val="002719FC"/>
    <w:rsid w:val="0027389D"/>
    <w:rsid w:val="0029295C"/>
    <w:rsid w:val="002941DD"/>
    <w:rsid w:val="002D1335"/>
    <w:rsid w:val="00304FB4"/>
    <w:rsid w:val="00333E53"/>
    <w:rsid w:val="00340C06"/>
    <w:rsid w:val="003975FA"/>
    <w:rsid w:val="003B35F5"/>
    <w:rsid w:val="003F0AAD"/>
    <w:rsid w:val="00421C80"/>
    <w:rsid w:val="00446CB1"/>
    <w:rsid w:val="004F6C9C"/>
    <w:rsid w:val="0054050D"/>
    <w:rsid w:val="005848DC"/>
    <w:rsid w:val="00685BFA"/>
    <w:rsid w:val="006A0E0D"/>
    <w:rsid w:val="006E61D3"/>
    <w:rsid w:val="006F31A0"/>
    <w:rsid w:val="007546A2"/>
    <w:rsid w:val="007B0A95"/>
    <w:rsid w:val="007E6B7D"/>
    <w:rsid w:val="007F0952"/>
    <w:rsid w:val="008258E5"/>
    <w:rsid w:val="008512C6"/>
    <w:rsid w:val="0090298B"/>
    <w:rsid w:val="00913316"/>
    <w:rsid w:val="00941F6F"/>
    <w:rsid w:val="00944BBD"/>
    <w:rsid w:val="00967B34"/>
    <w:rsid w:val="00994D6E"/>
    <w:rsid w:val="009D4134"/>
    <w:rsid w:val="009F7E01"/>
    <w:rsid w:val="00A0109B"/>
    <w:rsid w:val="00A11DC1"/>
    <w:rsid w:val="00A54FF7"/>
    <w:rsid w:val="00A86236"/>
    <w:rsid w:val="00AA5B86"/>
    <w:rsid w:val="00AB6B9F"/>
    <w:rsid w:val="00AE39D4"/>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926C2"/>
    <w:rsid w:val="00CA7145"/>
    <w:rsid w:val="00CE4731"/>
    <w:rsid w:val="00CF10A9"/>
    <w:rsid w:val="00D003C7"/>
    <w:rsid w:val="00D02D61"/>
    <w:rsid w:val="00D20325"/>
    <w:rsid w:val="00D31C88"/>
    <w:rsid w:val="00D6592D"/>
    <w:rsid w:val="00D979CD"/>
    <w:rsid w:val="00DC0CDB"/>
    <w:rsid w:val="00E2282E"/>
    <w:rsid w:val="00E25C30"/>
    <w:rsid w:val="00E366EC"/>
    <w:rsid w:val="00E37726"/>
    <w:rsid w:val="00E80CB3"/>
    <w:rsid w:val="00EC66F9"/>
    <w:rsid w:val="00EF4C7A"/>
    <w:rsid w:val="00F0325D"/>
    <w:rsid w:val="00F240C7"/>
    <w:rsid w:val="00F27632"/>
    <w:rsid w:val="00F44E5E"/>
    <w:rsid w:val="00F51A42"/>
    <w:rsid w:val="00F7211B"/>
    <w:rsid w:val="00F729FB"/>
    <w:rsid w:val="00F77EF2"/>
    <w:rsid w:val="00F85167"/>
    <w:rsid w:val="00FA17E4"/>
    <w:rsid w:val="00FA6F1E"/>
    <w:rsid w:val="00FE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9D4134"/>
    <w:pPr>
      <w:spacing w:after="0" w:line="240" w:lineRule="auto"/>
    </w:pPr>
    <w:rPr>
      <w:rFonts w:ascii="Calibri" w:eastAsia="Calibri" w:hAnsi="Calibri" w:cs="Calibri"/>
      <w:color w:val="000000"/>
      <w:u w:color="000000"/>
      <w:lang w:val="en-US" w:eastAsia="en-GB"/>
    </w:rPr>
  </w:style>
  <w:style w:type="character" w:styleId="Emphasis">
    <w:name w:val="Emphasis"/>
    <w:basedOn w:val="DefaultParagraphFont"/>
    <w:uiPriority w:val="20"/>
    <w:qFormat/>
    <w:rsid w:val="009D4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fuse-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mperial.eu.qualtrics.com/jfe/form/SV_bpBdq775zYBbP6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rad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2.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customXml/itemProps4.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Omirkhan, Aigerim</cp:lastModifiedBy>
  <cp:revision>3</cp:revision>
  <dcterms:created xsi:type="dcterms:W3CDTF">2022-03-10T11:51:00Z</dcterms:created>
  <dcterms:modified xsi:type="dcterms:W3CDTF">2022-03-10T11:53:00Z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