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60147493" w:rsidR="00794663" w:rsidRDefault="004C5A80" w:rsidP="00C67B95"/>
    <w:p w14:paraId="529CC9BD" w14:textId="249C640D"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3730D0ED" w14:textId="1380F0AE" w:rsidR="00B6135A" w:rsidRPr="00E366EC" w:rsidRDefault="00B6135A" w:rsidP="00C67B95">
      <w:pPr>
        <w:tabs>
          <w:tab w:val="left" w:pos="3320"/>
        </w:tabs>
        <w:rPr>
          <w:color w:val="767171" w:themeColor="background2" w:themeShade="80"/>
        </w:rPr>
      </w:pPr>
      <w:r>
        <w:rPr>
          <w:b/>
          <w:bCs/>
        </w:rPr>
        <w:t>Project title:</w:t>
      </w:r>
      <w:r w:rsidR="00E366EC">
        <w:rPr>
          <w:b/>
          <w:bCs/>
        </w:rPr>
        <w:t xml:space="preserve"> </w:t>
      </w:r>
      <w:r w:rsidR="00D31F03" w:rsidRPr="00D31F03">
        <w:rPr>
          <w:color w:val="767171" w:themeColor="background2" w:themeShade="80"/>
        </w:rPr>
        <w:t>Improving the electrolyte in low-cost lithium polysulfide flow batteries</w:t>
      </w:r>
    </w:p>
    <w:p w14:paraId="132E59C8" w14:textId="72BDCC1D" w:rsidR="001F4FF5" w:rsidRDefault="001F4FF5" w:rsidP="00C67B95">
      <w:pPr>
        <w:tabs>
          <w:tab w:val="left" w:pos="3320"/>
        </w:tabs>
      </w:pPr>
      <w:r>
        <w:rPr>
          <w:b/>
          <w:bCs/>
        </w:rPr>
        <w:t>Project description:</w:t>
      </w:r>
    </w:p>
    <w:p w14:paraId="671A967E" w14:textId="77777777" w:rsidR="004C354C" w:rsidRDefault="004C354C" w:rsidP="004C354C">
      <w:pPr>
        <w:pStyle w:val="Body"/>
      </w:pPr>
      <w:r>
        <w:t xml:space="preserve">Lithium polysulfide flow batteries (LPFB) are promising next generation batteries to replace lithium-ion and vanadium redox flow batteries for large-scale energy storage due to their inherent lower cost, high theoretical energy density, excellent </w:t>
      </w:r>
      <w:proofErr w:type="gramStart"/>
      <w:r>
        <w:t>scalability</w:t>
      </w:r>
      <w:proofErr w:type="gramEnd"/>
      <w:r>
        <w:t xml:space="preserve"> and much improved safety. As opposed to conventional Li-S chemistry, the LPFB employs polysulfides as dissolved species in the cathode side electrolyte (termed catholyte), while maintaining a metallic lithium anode.</w:t>
      </w:r>
    </w:p>
    <w:p w14:paraId="69C91ACA" w14:textId="020C47C7" w:rsidR="001F4FF5" w:rsidRDefault="004C354C" w:rsidP="004C354C">
      <w:pPr>
        <w:tabs>
          <w:tab w:val="left" w:pos="3320"/>
        </w:tabs>
        <w:rPr>
          <w:color w:val="767171" w:themeColor="background2" w:themeShade="80"/>
        </w:rPr>
      </w:pPr>
      <w:r>
        <w:t xml:space="preserve">Two </w:t>
      </w:r>
      <w:proofErr w:type="gramStart"/>
      <w:r>
        <w:t>particular challenges</w:t>
      </w:r>
      <w:proofErr w:type="gramEnd"/>
      <w:r>
        <w:t xml:space="preserve"> arise with this chemistry configuration that limits shelf life and power delivery: self-discharge from transport of abundant polysulfide from the catholyte to the anode; and a poor trade-off between solvents that dissolve polysulfides well vs solvents that are chemically compatible with the lithium metal anode. The summer internship will investigate novel catholyte mixtures by employing novel additives or solvent mixtures to protect the lithium anode from self-discharge, while maintaining excellent polysulfide solubility and battery capacity.  </w:t>
      </w:r>
    </w:p>
    <w:p w14:paraId="2F17B296" w14:textId="46435F7F" w:rsidR="001F4FF5" w:rsidRPr="00E366EC" w:rsidRDefault="001F4FF5" w:rsidP="00C67B95">
      <w:pPr>
        <w:tabs>
          <w:tab w:val="left" w:pos="3320"/>
        </w:tabs>
        <w:rPr>
          <w:color w:val="767171" w:themeColor="background2" w:themeShade="80"/>
        </w:rPr>
      </w:pPr>
      <w:r>
        <w:rPr>
          <w:b/>
          <w:bCs/>
        </w:rPr>
        <w:t>Supervisor:</w:t>
      </w:r>
      <w:r w:rsidR="00E366EC">
        <w:rPr>
          <w:b/>
          <w:bCs/>
        </w:rPr>
        <w:t xml:space="preserve"> </w:t>
      </w:r>
      <w:r w:rsidR="001A7900">
        <w:rPr>
          <w:color w:val="767171" w:themeColor="background2" w:themeShade="80"/>
        </w:rPr>
        <w:t>Dr Edward Brightman</w:t>
      </w:r>
    </w:p>
    <w:p w14:paraId="3DF38211" w14:textId="0F43F2F4" w:rsidR="005848DC" w:rsidRPr="005848DC" w:rsidRDefault="005848DC" w:rsidP="00C67B95">
      <w:pPr>
        <w:tabs>
          <w:tab w:val="left" w:pos="3320"/>
        </w:tabs>
        <w:rPr>
          <w:b/>
          <w:bCs/>
        </w:rPr>
      </w:pPr>
      <w:r>
        <w:rPr>
          <w:b/>
          <w:bCs/>
        </w:rPr>
        <w:t>University:</w:t>
      </w:r>
      <w:r w:rsidR="00E366EC">
        <w:rPr>
          <w:b/>
          <w:bCs/>
        </w:rPr>
        <w:t xml:space="preserve"> </w:t>
      </w:r>
      <w:r w:rsidR="001A7900">
        <w:rPr>
          <w:color w:val="767171" w:themeColor="background2" w:themeShade="80"/>
        </w:rPr>
        <w:t>University of Strathclyde</w:t>
      </w:r>
    </w:p>
    <w:p w14:paraId="10CD05B4" w14:textId="3748DC0A" w:rsidR="005848DC" w:rsidRPr="00E366EC" w:rsidRDefault="005848DC" w:rsidP="00C67B95">
      <w:pPr>
        <w:tabs>
          <w:tab w:val="left" w:pos="3320"/>
        </w:tabs>
        <w:rPr>
          <w:i/>
          <w:iCs/>
          <w:color w:val="767171" w:themeColor="background2" w:themeShade="80"/>
        </w:rPr>
      </w:pPr>
      <w:r>
        <w:rPr>
          <w:b/>
          <w:bCs/>
        </w:rPr>
        <w:t xml:space="preserve">Location: </w:t>
      </w:r>
      <w:r w:rsidR="001A7900">
        <w:rPr>
          <w:i/>
          <w:iCs/>
          <w:color w:val="767171" w:themeColor="background2" w:themeShade="80"/>
        </w:rPr>
        <w:t>In-person</w:t>
      </w:r>
    </w:p>
    <w:p w14:paraId="6CEF53A6" w14:textId="25700BAB"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full-time role for 8 weeks.</w:t>
      </w:r>
      <w:r w:rsidR="00956123">
        <w:rPr>
          <w:rFonts w:ascii="Calibri" w:hAnsi="Calibri" w:cs="Calibri"/>
          <w:color w:val="000000"/>
        </w:rPr>
        <w:t xml:space="preserve"> Dates are flexible between June-September 2022</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567C68C6"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hyperlink>
      <w:r w:rsidR="00333E53" w:rsidRPr="00304FB4">
        <w:rPr>
          <w:i/>
          <w:iCs/>
          <w:color w:val="767171" w:themeColor="background2" w:themeShade="8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lastRenderedPageBreak/>
        <w:t>Application:</w:t>
      </w:r>
    </w:p>
    <w:p w14:paraId="7936B5E0" w14:textId="760BFDFB" w:rsidR="00CA3EDA" w:rsidRPr="00B175F8" w:rsidRDefault="000C4939" w:rsidP="00B175F8">
      <w:pPr>
        <w:ind w:right="95"/>
        <w:rPr>
          <w:i/>
          <w:color w:val="AEAAAA" w:themeColor="background2" w:themeShade="BF"/>
          <w:lang w:val="en-US"/>
        </w:rPr>
      </w:pPr>
      <w:r>
        <w:rPr>
          <w:iCs/>
          <w:lang w:val="en-US"/>
        </w:rPr>
        <w:t>To</w:t>
      </w:r>
      <w:r w:rsidR="00967B34" w:rsidRPr="00FA17E4">
        <w:rPr>
          <w:iCs/>
          <w:lang w:val="en-US"/>
        </w:rPr>
        <w:t xml:space="preserve"> apply for </w:t>
      </w:r>
      <w:r>
        <w:rPr>
          <w:iCs/>
          <w:lang w:val="en-US"/>
        </w:rPr>
        <w:t>this</w:t>
      </w:r>
      <w:r w:rsidR="00967B34" w:rsidRPr="00FA17E4">
        <w:rPr>
          <w:iCs/>
          <w:lang w:val="en-US"/>
        </w:rPr>
        <w:t xml:space="preserve"> Faraday </w:t>
      </w:r>
      <w:r w:rsidR="00E37726">
        <w:rPr>
          <w:iCs/>
          <w:lang w:val="en-US"/>
        </w:rPr>
        <w:t xml:space="preserve">Undergraduate Summer Experience (FUSE) </w:t>
      </w:r>
      <w:r w:rsidR="00D6592D">
        <w:rPr>
          <w:iCs/>
          <w:lang w:val="en-US"/>
        </w:rPr>
        <w:t>2022 internship</w:t>
      </w:r>
      <w:r w:rsidR="00967B34" w:rsidRPr="00FA17E4">
        <w:rPr>
          <w:iCs/>
          <w:lang w:val="en-US"/>
        </w:rPr>
        <w:t xml:space="preserve">, </w:t>
      </w:r>
      <w:r>
        <w:rPr>
          <w:iCs/>
          <w:lang w:val="en-US"/>
        </w:rPr>
        <w:t xml:space="preserve">please submit your details in the </w:t>
      </w:r>
      <w:r w:rsidR="0089403F">
        <w:rPr>
          <w:iCs/>
          <w:lang w:val="en-US"/>
        </w:rPr>
        <w:t xml:space="preserve">online </w:t>
      </w:r>
      <w:r>
        <w:rPr>
          <w:iCs/>
          <w:lang w:val="en-US"/>
        </w:rPr>
        <w:t>form</w:t>
      </w:r>
      <w:r w:rsidR="0089403F">
        <w:rPr>
          <w:iCs/>
          <w:lang w:val="en-US"/>
        </w:rPr>
        <w:t xml:space="preserve"> at the link below</w:t>
      </w:r>
      <w:r>
        <w:rPr>
          <w:iCs/>
          <w:lang w:val="en-US"/>
        </w:rPr>
        <w:t>. You will need to provide your name, degree</w:t>
      </w:r>
      <w:r w:rsidR="009673C4">
        <w:rPr>
          <w:iCs/>
          <w:lang w:val="en-US"/>
        </w:rPr>
        <w:t xml:space="preserve"> course, year, a summary of your grades, and a short statement outlining your motivation and suitability for this internship.</w:t>
      </w:r>
      <w:r w:rsidR="0089403F">
        <w:rPr>
          <w:iCs/>
          <w:lang w:val="en-US"/>
        </w:rPr>
        <w:t xml:space="preserve"> Applications must be submitted by 31 March 2022 and short-listed candidates will be invited to an informal interview shortly after that.</w:t>
      </w:r>
      <w:r w:rsidR="00032399">
        <w:rPr>
          <w:iCs/>
          <w:lang w:val="en-US"/>
        </w:rPr>
        <w:t xml:space="preserve"> </w:t>
      </w:r>
      <w:hyperlink r:id="rId13" w:history="1">
        <w:r w:rsidR="00CA3EDA" w:rsidRPr="003000B8">
          <w:rPr>
            <w:rStyle w:val="Hyperlink"/>
            <w:i/>
            <w:lang w:val="en-US"/>
          </w:rPr>
          <w:t>https://forms.office.com/r/Pi6sGH3D3M</w:t>
        </w:r>
      </w:hyperlink>
      <w:r w:rsidR="00CA3EDA">
        <w:rPr>
          <w:i/>
          <w:color w:val="AEAAAA" w:themeColor="background2" w:themeShade="BF"/>
          <w:lang w:val="en-US"/>
        </w:rPr>
        <w:t xml:space="preserve"> </w:t>
      </w:r>
    </w:p>
    <w:p w14:paraId="7EF9A0A5" w14:textId="4E82D266"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09A87D09" w14:textId="0FD43B3B" w:rsidR="005737FB" w:rsidRDefault="005737FB" w:rsidP="005737FB">
      <w:r>
        <w:t xml:space="preserve">The University of Strathclyde </w:t>
      </w:r>
      <w:r w:rsidRPr="00B3226F">
        <w:t>value</w:t>
      </w:r>
      <w:r>
        <w:t>s</w:t>
      </w:r>
      <w:r w:rsidRPr="00B3226F">
        <w:t xml:space="preserve"> diversity and welcome</w:t>
      </w:r>
      <w:r>
        <w:t>s</w:t>
      </w:r>
      <w:r w:rsidRPr="00B3226F">
        <w:t xml:space="preserve"> applications from all sections of the community.</w:t>
      </w:r>
    </w:p>
    <w:p w14:paraId="1FD176A6" w14:textId="77777777" w:rsidR="005737FB" w:rsidRDefault="005737FB" w:rsidP="005737FB">
      <w:r w:rsidRPr="00FB6230">
        <w:t xml:space="preserve">The University currently holds a Bronze Athena SWAN award, recognising our commitment to advancing women's careers in science, technology, engineering, </w:t>
      </w:r>
      <w:proofErr w:type="gramStart"/>
      <w:r w:rsidRPr="00FB6230">
        <w:t>maths</w:t>
      </w:r>
      <w:proofErr w:type="gramEnd"/>
      <w:r w:rsidRPr="00FB6230">
        <w:t xml:space="preserve"> and medicine (STEMM) employment in academia.</w:t>
      </w:r>
    </w:p>
    <w:p w14:paraId="41C17082" w14:textId="77777777" w:rsidR="005737FB" w:rsidRDefault="005737FB" w:rsidP="005737FB">
      <w:pPr>
        <w:pStyle w:val="Heading2"/>
      </w:pPr>
      <w:r>
        <w:t>University Values</w:t>
      </w:r>
    </w:p>
    <w:p w14:paraId="3505F987" w14:textId="77777777" w:rsidR="005737FB" w:rsidRDefault="005737FB" w:rsidP="005737FB">
      <w:r w:rsidRPr="00FE15EF">
        <w:rPr>
          <w:noProof/>
        </w:rPr>
        <w:t xml:space="preserve">The University’s Values capture what we’re all about: who we are, what we believe in and what we stand for. </w:t>
      </w:r>
      <w:hyperlink r:id="rId14" w:history="1">
        <w:r w:rsidRPr="00FE15EF">
          <w:rPr>
            <w:rStyle w:val="Hyperlink"/>
            <w:noProof/>
          </w:rPr>
          <w:t>Our Values</w:t>
        </w:r>
      </w:hyperlink>
      <w:r w:rsidRPr="00FE15EF">
        <w:rPr>
          <w:noProof/>
        </w:rPr>
        <w:t xml:space="preserve"> have been derived from how we act and how we expect to be treated as </w:t>
      </w:r>
      <w:r>
        <w:rPr>
          <w:noProof/>
        </w:rPr>
        <w:t xml:space="preserve"> </w:t>
      </w:r>
      <w:r w:rsidRPr="00FE15EF">
        <w:rPr>
          <w:noProof/>
        </w:rPr>
        <w:t>part of Strathclyde</w:t>
      </w:r>
      <w:r>
        <w:rPr>
          <w:noProof/>
        </w:rPr>
        <w:t>.</w:t>
      </w:r>
    </w:p>
    <w:p w14:paraId="11DC47DD" w14:textId="26B85BDA" w:rsidR="00BB28BB" w:rsidRPr="00BB28BB" w:rsidRDefault="00BB28BB" w:rsidP="005737FB">
      <w:pPr>
        <w:tabs>
          <w:tab w:val="left" w:pos="3320"/>
        </w:tabs>
        <w:rPr>
          <w:i/>
          <w:iCs/>
          <w:color w:val="7F7F7F" w:themeColor="text1" w:themeTint="80"/>
        </w:rPr>
      </w:pPr>
    </w:p>
    <w:sectPr w:rsidR="00BB28BB" w:rsidRPr="00BB28BB" w:rsidSect="000C493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867" w14:textId="77777777" w:rsidR="00AD6226" w:rsidRDefault="00AD6226" w:rsidP="00F44E5E">
      <w:pPr>
        <w:spacing w:after="0" w:line="240" w:lineRule="auto"/>
      </w:pPr>
      <w:r>
        <w:separator/>
      </w:r>
    </w:p>
  </w:endnote>
  <w:endnote w:type="continuationSeparator" w:id="0">
    <w:p w14:paraId="2A9FD5F5" w14:textId="77777777" w:rsidR="00AD6226" w:rsidRDefault="00AD6226"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7D80" w14:textId="77777777" w:rsidR="00AD6226" w:rsidRDefault="00AD6226" w:rsidP="00F44E5E">
      <w:pPr>
        <w:spacing w:after="0" w:line="240" w:lineRule="auto"/>
      </w:pPr>
      <w:r>
        <w:separator/>
      </w:r>
    </w:p>
  </w:footnote>
  <w:footnote w:type="continuationSeparator" w:id="0">
    <w:p w14:paraId="5AB2B24F" w14:textId="77777777" w:rsidR="00AD6226" w:rsidRDefault="00AD6226" w:rsidP="00F4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168D"/>
    <w:rsid w:val="00012582"/>
    <w:rsid w:val="00032399"/>
    <w:rsid w:val="00034878"/>
    <w:rsid w:val="000452FF"/>
    <w:rsid w:val="000B0511"/>
    <w:rsid w:val="000C4939"/>
    <w:rsid w:val="0013517F"/>
    <w:rsid w:val="001A7900"/>
    <w:rsid w:val="001B48D0"/>
    <w:rsid w:val="001D4756"/>
    <w:rsid w:val="001F4FF5"/>
    <w:rsid w:val="0022175B"/>
    <w:rsid w:val="002719FC"/>
    <w:rsid w:val="0027389D"/>
    <w:rsid w:val="0029295C"/>
    <w:rsid w:val="002D1335"/>
    <w:rsid w:val="00304FB4"/>
    <w:rsid w:val="00333E53"/>
    <w:rsid w:val="00340C06"/>
    <w:rsid w:val="003B35F5"/>
    <w:rsid w:val="003F0AAD"/>
    <w:rsid w:val="00446CB1"/>
    <w:rsid w:val="004C354C"/>
    <w:rsid w:val="004C5A80"/>
    <w:rsid w:val="0054050D"/>
    <w:rsid w:val="005737FB"/>
    <w:rsid w:val="005848DC"/>
    <w:rsid w:val="00685BFA"/>
    <w:rsid w:val="006A0E0D"/>
    <w:rsid w:val="007546A2"/>
    <w:rsid w:val="007B0A95"/>
    <w:rsid w:val="007E6B7D"/>
    <w:rsid w:val="008258E5"/>
    <w:rsid w:val="008512C6"/>
    <w:rsid w:val="0089403F"/>
    <w:rsid w:val="00941F6F"/>
    <w:rsid w:val="00944BBD"/>
    <w:rsid w:val="00956123"/>
    <w:rsid w:val="009673C4"/>
    <w:rsid w:val="00967B34"/>
    <w:rsid w:val="009816CA"/>
    <w:rsid w:val="009F7E01"/>
    <w:rsid w:val="00A0109B"/>
    <w:rsid w:val="00A54FF7"/>
    <w:rsid w:val="00AB6B9F"/>
    <w:rsid w:val="00AD6226"/>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3EDA"/>
    <w:rsid w:val="00CA7145"/>
    <w:rsid w:val="00CE4731"/>
    <w:rsid w:val="00CF10A9"/>
    <w:rsid w:val="00D003C7"/>
    <w:rsid w:val="00D31C88"/>
    <w:rsid w:val="00D31F03"/>
    <w:rsid w:val="00D6592D"/>
    <w:rsid w:val="00DC0CDB"/>
    <w:rsid w:val="00E2282E"/>
    <w:rsid w:val="00E25C30"/>
    <w:rsid w:val="00E366EC"/>
    <w:rsid w:val="00E37726"/>
    <w:rsid w:val="00EC66F9"/>
    <w:rsid w:val="00EF4C7A"/>
    <w:rsid w:val="00F0325D"/>
    <w:rsid w:val="00F240C7"/>
    <w:rsid w:val="00F27632"/>
    <w:rsid w:val="00F44E5E"/>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37FB"/>
    <w:pPr>
      <w:keepNext/>
      <w:keepLines/>
      <w:spacing w:after="60" w:line="240" w:lineRule="auto"/>
      <w:outlineLvl w:val="1"/>
    </w:pPr>
    <w:rPr>
      <w:rFonts w:asciiTheme="majorHAnsi" w:eastAsiaTheme="majorEastAsia" w:hAnsiTheme="majorHAnsi" w:cstheme="majorBidi"/>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4C354C"/>
    <w:pPr>
      <w:spacing w:after="0" w:line="240" w:lineRule="auto"/>
    </w:pPr>
    <w:rPr>
      <w:rFonts w:ascii="Calibri" w:eastAsia="Calibri" w:hAnsi="Calibri" w:cs="Calibri"/>
      <w:color w:val="000000"/>
      <w:u w:color="000000"/>
      <w:lang w:val="en-US" w:eastAsia="en-GB"/>
    </w:rPr>
  </w:style>
  <w:style w:type="character" w:customStyle="1" w:styleId="Heading2Char">
    <w:name w:val="Heading 2 Char"/>
    <w:basedOn w:val="DefaultParagraphFont"/>
    <w:link w:val="Heading2"/>
    <w:uiPriority w:val="9"/>
    <w:rsid w:val="005737FB"/>
    <w:rPr>
      <w:rFonts w:asciiTheme="majorHAnsi" w:eastAsiaTheme="majorEastAsia" w:hAnsiTheme="majorHAnsi" w:cstheme="majorBidi"/>
      <w:b/>
      <w:bCs/>
      <w:sz w:val="20"/>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Pi6sGH3D3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ath.ac.uk/whystrathclyde/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Edward Brightman</cp:lastModifiedBy>
  <cp:revision>13</cp:revision>
  <dcterms:created xsi:type="dcterms:W3CDTF">2022-03-09T11:54:00Z</dcterms:created>
  <dcterms:modified xsi:type="dcterms:W3CDTF">2022-03-11T10:07:00Z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