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C9BD" w14:textId="249C640D" w:rsidR="00967B34" w:rsidRPr="00967B34" w:rsidRDefault="00967B34" w:rsidP="00C67B95">
      <w:pPr>
        <w:tabs>
          <w:tab w:val="left" w:pos="3320"/>
        </w:tabs>
        <w:rPr>
          <w:b/>
          <w:bCs/>
        </w:rPr>
      </w:pPr>
      <w:r w:rsidRPr="00967B34">
        <w:rPr>
          <w:b/>
          <w:bCs/>
        </w:rPr>
        <w:t xml:space="preserve">Exciting </w:t>
      </w:r>
      <w:hyperlink r:id="rId11"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2022</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28835530" w:rsidR="00CA7145" w:rsidRDefault="00BC7272" w:rsidP="00C67B95">
      <w:pPr>
        <w:tabs>
          <w:tab w:val="left" w:pos="3320"/>
        </w:tabs>
      </w:pPr>
      <w:r>
        <w:t>The Faraday Institution</w:t>
      </w:r>
      <w:r w:rsidR="00C6081F">
        <w:t xml:space="preserve"> is offering </w:t>
      </w:r>
      <w:r w:rsidR="00C0418B">
        <w:t xml:space="preserve">a total of </w:t>
      </w:r>
      <w:r w:rsidR="00C6081F">
        <w:t>56 internship</w:t>
      </w:r>
      <w:r w:rsidR="0054050D">
        <w:t>s, f</w:t>
      </w:r>
      <w:r w:rsidR="00C6081F">
        <w:t>or undergraduate students to spend 8</w:t>
      </w:r>
      <w:r w:rsidR="00944BBD">
        <w:t xml:space="preserve"> </w:t>
      </w:r>
      <w:r w:rsidR="00C6081F">
        <w:t xml:space="preserve">weeks </w:t>
      </w:r>
      <w:r w:rsidR="00C210D3">
        <w:t>working on battery related projects</w:t>
      </w:r>
      <w:r w:rsidR="0054050D">
        <w:t xml:space="preserve">.  </w:t>
      </w:r>
    </w:p>
    <w:p w14:paraId="436AEC42" w14:textId="77777777" w:rsidR="00A04CAC" w:rsidRDefault="00B6135A" w:rsidP="00C67B95">
      <w:pPr>
        <w:tabs>
          <w:tab w:val="left" w:pos="3320"/>
        </w:tabs>
        <w:rPr>
          <w:b/>
          <w:bCs/>
        </w:rPr>
      </w:pPr>
      <w:r>
        <w:rPr>
          <w:b/>
          <w:bCs/>
        </w:rPr>
        <w:t>Project title:</w:t>
      </w:r>
    </w:p>
    <w:p w14:paraId="3730D0ED" w14:textId="16FC7D7F" w:rsidR="00B6135A" w:rsidRPr="00E366EC" w:rsidRDefault="000251EA" w:rsidP="00C67B95">
      <w:pPr>
        <w:tabs>
          <w:tab w:val="left" w:pos="3320"/>
        </w:tabs>
        <w:rPr>
          <w:color w:val="767171" w:themeColor="background2" w:themeShade="80"/>
        </w:rPr>
      </w:pPr>
      <w:r w:rsidRPr="000251EA">
        <w:rPr>
          <w:rFonts w:ascii="Calibri" w:hAnsi="Calibri" w:cs="Calibri"/>
        </w:rPr>
        <w:t>Identifying the unique risks posed by thermal runaway of Li-ion batteries in rail and marine applications -  a qualitative risk assessment</w:t>
      </w:r>
    </w:p>
    <w:p w14:paraId="132E59C8" w14:textId="6F163BF3" w:rsidR="001F4FF5" w:rsidRDefault="001F4FF5" w:rsidP="00C67B95">
      <w:pPr>
        <w:tabs>
          <w:tab w:val="left" w:pos="3320"/>
        </w:tabs>
      </w:pPr>
      <w:r>
        <w:rPr>
          <w:b/>
          <w:bCs/>
        </w:rPr>
        <w:t>Project description:</w:t>
      </w:r>
      <w:r w:rsidR="00A04CAC">
        <w:rPr>
          <w:b/>
          <w:bCs/>
        </w:rPr>
        <w:t xml:space="preserve"> </w:t>
      </w:r>
    </w:p>
    <w:p w14:paraId="28F58C62" w14:textId="67B30C40" w:rsidR="000251EA" w:rsidRDefault="000251EA" w:rsidP="00AA3355">
      <w:pPr>
        <w:pStyle w:val="Body"/>
      </w:pPr>
      <w:r>
        <w:t>The need to decarbonize the rail and marine sector is leading to increased interest and utilization of Li-ion batteries (LIBs) in these sectors for use a stand-alone and hybrid primary power systems and also auxiliary power systems. However, the electrical, mechanical and environmental demands put on LIBs in these sectors are different to that of existing automotive EV and stationary batteries</w:t>
      </w:r>
    </w:p>
    <w:p w14:paraId="6A688D99" w14:textId="382F88EA" w:rsidR="000251EA" w:rsidRDefault="000251EA" w:rsidP="000251EA">
      <w:pPr>
        <w:pStyle w:val="Body"/>
      </w:pPr>
      <w:r>
        <w:t xml:space="preserve">The aim of this work will be to carry out literature review to determine the unique hazards LIBs face when applied to </w:t>
      </w:r>
      <w:r w:rsidRPr="005407F9">
        <w:t>rail and marine applications</w:t>
      </w:r>
      <w:r>
        <w:t xml:space="preserve">. How these hazards could influence the occurrence of thermal runaway events and what unique hazards thermal runaway poses in these </w:t>
      </w:r>
      <w:r w:rsidRPr="005407F9">
        <w:t>applications</w:t>
      </w:r>
      <w:r>
        <w:t xml:space="preserve">. An analysis of these hazards will be used to develop a </w:t>
      </w:r>
      <w:r w:rsidRPr="005407F9">
        <w:t>qualitative risk assessment</w:t>
      </w:r>
      <w:r>
        <w:t xml:space="preserve"> posed by thermal runaway in these applications.</w:t>
      </w:r>
      <w:r>
        <w:t xml:space="preserve"> </w:t>
      </w:r>
    </w:p>
    <w:p w14:paraId="221973A6" w14:textId="77777777" w:rsidR="000251EA" w:rsidRDefault="000251EA" w:rsidP="000251EA">
      <w:pPr>
        <w:pStyle w:val="Body"/>
        <w:tabs>
          <w:tab w:val="left" w:pos="3320"/>
        </w:tabs>
      </w:pPr>
      <w:r>
        <w:t xml:space="preserve">Through the </w:t>
      </w:r>
      <w:r w:rsidRPr="005407F9">
        <w:t>qualitative risk assessment</w:t>
      </w:r>
      <w:r>
        <w:t>, factors that present the most risk will be identified and recommendation</w:t>
      </w:r>
      <w:r>
        <w:t xml:space="preserve">s on their mitigation </w:t>
      </w:r>
      <w:proofErr w:type="spellStart"/>
      <w:r>
        <w:t>presented</w:t>
      </w:r>
    </w:p>
    <w:p w14:paraId="74527C71" w14:textId="2FA9D9E8" w:rsidR="004C67B3" w:rsidRDefault="004C67B3" w:rsidP="000251EA">
      <w:pPr>
        <w:pStyle w:val="Body"/>
        <w:tabs>
          <w:tab w:val="left" w:pos="3320"/>
        </w:tabs>
      </w:pPr>
      <w:proofErr w:type="spellEnd"/>
      <w:r>
        <w:t>Learning Objectives:</w:t>
      </w:r>
    </w:p>
    <w:p w14:paraId="78693208" w14:textId="77777777" w:rsidR="000251EA" w:rsidRDefault="000251EA" w:rsidP="000251EA">
      <w:pPr>
        <w:pStyle w:val="Body"/>
        <w:numPr>
          <w:ilvl w:val="1"/>
          <w:numId w:val="4"/>
        </w:numPr>
      </w:pPr>
      <w:r>
        <w:t>Understand what safety engineering is and the different methods of risk assessment</w:t>
      </w:r>
    </w:p>
    <w:p w14:paraId="1A6BF5BD" w14:textId="76B164D3" w:rsidR="004C67B3" w:rsidRDefault="000251EA" w:rsidP="000251EA">
      <w:pPr>
        <w:pStyle w:val="Body"/>
        <w:numPr>
          <w:ilvl w:val="1"/>
          <w:numId w:val="4"/>
        </w:numPr>
      </w:pPr>
      <w:r>
        <w:t>Understand how batteries are constructed and work on a system level, and how different battery applications influence battery design and engineering requirements.</w:t>
      </w:r>
    </w:p>
    <w:p w14:paraId="0E75DFAD" w14:textId="77777777" w:rsidR="000251EA" w:rsidRPr="000251EA" w:rsidRDefault="000251EA" w:rsidP="000251EA">
      <w:pPr>
        <w:pStyle w:val="Body"/>
        <w:numPr>
          <w:ilvl w:val="0"/>
          <w:numId w:val="0"/>
        </w:numPr>
      </w:pPr>
    </w:p>
    <w:p w14:paraId="2F17B296" w14:textId="6332441D" w:rsidR="001F4FF5" w:rsidRPr="00E366EC" w:rsidRDefault="001F4FF5" w:rsidP="00A04CAC">
      <w:pPr>
        <w:tabs>
          <w:tab w:val="left" w:pos="3320"/>
        </w:tabs>
        <w:rPr>
          <w:color w:val="767171" w:themeColor="background2" w:themeShade="80"/>
        </w:rPr>
      </w:pPr>
      <w:r>
        <w:rPr>
          <w:b/>
          <w:bCs/>
        </w:rPr>
        <w:t>Supervisor:</w:t>
      </w:r>
      <w:r w:rsidR="00E366EC">
        <w:rPr>
          <w:b/>
          <w:bCs/>
        </w:rPr>
        <w:t xml:space="preserve"> </w:t>
      </w:r>
      <w:proofErr w:type="spellStart"/>
      <w:r w:rsidR="00A04CAC" w:rsidRPr="00B32D30">
        <w:rPr>
          <w:rFonts w:ascii="Calibri" w:hAnsi="Calibri" w:cs="Calibri"/>
        </w:rPr>
        <w:t>Prof.</w:t>
      </w:r>
      <w:proofErr w:type="spellEnd"/>
      <w:r w:rsidR="00A04CAC" w:rsidRPr="00B32D30">
        <w:rPr>
          <w:rFonts w:ascii="Calibri" w:hAnsi="Calibri" w:cs="Calibri"/>
        </w:rPr>
        <w:t xml:space="preserve"> Solomon Brown</w:t>
      </w:r>
    </w:p>
    <w:p w14:paraId="3DF38211" w14:textId="3E9B07AF" w:rsidR="005848DC" w:rsidRPr="00A04CAC" w:rsidRDefault="005848DC" w:rsidP="00A04CAC">
      <w:pPr>
        <w:rPr>
          <w:rFonts w:ascii="Calibri" w:hAnsi="Calibri" w:cs="Calibri"/>
        </w:rPr>
      </w:pPr>
      <w:r>
        <w:rPr>
          <w:b/>
          <w:bCs/>
        </w:rPr>
        <w:t>University:</w:t>
      </w:r>
      <w:r w:rsidR="00E366EC">
        <w:rPr>
          <w:b/>
          <w:bCs/>
        </w:rPr>
        <w:t xml:space="preserve"> </w:t>
      </w:r>
      <w:r w:rsidR="00A04CAC">
        <w:rPr>
          <w:rFonts w:ascii="Calibri" w:hAnsi="Calibri" w:cs="Calibri"/>
        </w:rPr>
        <w:t>The University of Sheffield</w:t>
      </w:r>
    </w:p>
    <w:p w14:paraId="10CD05B4" w14:textId="0BBD2974" w:rsidR="005848DC" w:rsidRPr="00A04CAC" w:rsidRDefault="005848DC" w:rsidP="00A04CAC">
      <w:pPr>
        <w:rPr>
          <w:rFonts w:ascii="Calibri" w:hAnsi="Calibri" w:cs="Calibri"/>
        </w:rPr>
      </w:pPr>
      <w:r>
        <w:rPr>
          <w:b/>
          <w:bCs/>
        </w:rPr>
        <w:t xml:space="preserve">Location: </w:t>
      </w:r>
      <w:r w:rsidR="00A04CAC">
        <w:rPr>
          <w:rFonts w:ascii="Calibri" w:hAnsi="Calibri" w:cs="Calibri"/>
        </w:rPr>
        <w:t>Optional (</w:t>
      </w:r>
      <w:r w:rsidR="00A04CAC">
        <w:t>In-person/ online/hybrid</w:t>
      </w:r>
      <w:r w:rsidR="00A04CAC">
        <w:t>)</w:t>
      </w:r>
    </w:p>
    <w:p w14:paraId="6CEF53A6" w14:textId="54CAB004" w:rsidR="00B138D5" w:rsidRPr="00B138D5" w:rsidRDefault="00B138D5" w:rsidP="00C67B95">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 xml:space="preserve">full-time role for 8 weeks </w:t>
      </w:r>
      <w:r w:rsidRPr="00A04CAC">
        <w:rPr>
          <w:rFonts w:ascii="Calibri" w:hAnsi="Calibri" w:cs="Calibri"/>
          <w:color w:val="767171" w:themeColor="background2" w:themeShade="80"/>
          <w:highlight w:val="yellow"/>
        </w:rPr>
        <w:t>[enter start /finish dates if fixed or during June – September 2022 if flexible]</w:t>
      </w:r>
      <w:r w:rsidRPr="00A04CAC">
        <w:rPr>
          <w:rFonts w:ascii="Calibri" w:hAnsi="Calibri" w:cs="Calibri"/>
          <w:color w:val="000000"/>
          <w:highlight w:val="yellow"/>
        </w:rPr>
        <w:t>.</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77777777" w:rsidR="00AB6B9F" w:rsidRDefault="00AB6B9F" w:rsidP="00AB6B9F">
      <w:pPr>
        <w:pStyle w:val="Default"/>
        <w:spacing w:after="30"/>
        <w:rPr>
          <w:sz w:val="22"/>
          <w:szCs w:val="22"/>
        </w:rPr>
      </w:pPr>
      <w:r>
        <w:rPr>
          <w:sz w:val="22"/>
          <w:szCs w:val="22"/>
        </w:rPr>
        <w:t xml:space="preserve">• Be registered full-time undergraduate student from a UK university. </w:t>
      </w:r>
    </w:p>
    <w:p w14:paraId="0452EB2F" w14:textId="77777777" w:rsidR="00AB6B9F" w:rsidRDefault="00AB6B9F" w:rsidP="00AB6B9F">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379B8AAF" w14:textId="551BCA1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5B32195A" w14:textId="309E2547"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Pr="002719FC">
        <w:rPr>
          <w:rFonts w:ascii="Calibri" w:hAnsi="Calibri" w:cs="Calibri"/>
          <w:color w:val="000000"/>
        </w:rPr>
        <w:t>9.</w:t>
      </w:r>
      <w:r>
        <w:rPr>
          <w:rFonts w:ascii="Calibri" w:hAnsi="Calibri" w:cs="Calibri"/>
          <w:color w:val="000000"/>
        </w:rPr>
        <w:t>9</w:t>
      </w:r>
      <w:r w:rsidRPr="002719FC">
        <w:rPr>
          <w:rFonts w:ascii="Calibri" w:hAnsi="Calibri" w:cs="Calibri"/>
          <w:color w:val="000000"/>
        </w:rPr>
        <w:t xml:space="preserve">0 / hour across the UK or </w:t>
      </w:r>
      <w:r w:rsidRPr="002719FC">
        <w:rPr>
          <w:rFonts w:ascii="Calibri" w:hAnsi="Calibri" w:cs="Calibri" w:hint="eastAsia"/>
          <w:color w:val="000000"/>
        </w:rPr>
        <w:t>£</w:t>
      </w:r>
      <w:r>
        <w:rPr>
          <w:rFonts w:ascii="Calibri" w:hAnsi="Calibri" w:cs="Calibri"/>
          <w:color w:val="000000"/>
        </w:rPr>
        <w:t>11.05</w:t>
      </w:r>
      <w:r w:rsidRPr="002719FC">
        <w:rPr>
          <w:rFonts w:ascii="Calibri" w:hAnsi="Calibri" w:cs="Calibri"/>
          <w:color w:val="000000"/>
        </w:rPr>
        <w:t xml:space="preserve"> / hour in London will be provided. This will be</w:t>
      </w:r>
    </w:p>
    <w:p w14:paraId="198940B9" w14:textId="39FB6389" w:rsidR="002719FC" w:rsidRPr="00304FB4" w:rsidRDefault="002719FC" w:rsidP="002719FC">
      <w:pPr>
        <w:autoSpaceDE w:val="0"/>
        <w:autoSpaceDN w:val="0"/>
        <w:adjustRightInd w:val="0"/>
        <w:spacing w:after="0" w:line="240" w:lineRule="auto"/>
        <w:rPr>
          <w:i/>
          <w:iCs/>
          <w:color w:val="767171" w:themeColor="background2" w:themeShade="80"/>
        </w:rPr>
      </w:pPr>
      <w:r w:rsidRPr="002719FC">
        <w:rPr>
          <w:rFonts w:ascii="Calibri" w:hAnsi="Calibri" w:cs="Calibri"/>
          <w:color w:val="000000"/>
        </w:rPr>
        <w:lastRenderedPageBreak/>
        <w:t xml:space="preserve">determined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r:id="rId12" w:history="1">
        <w:r w:rsidRPr="00B0739E">
          <w:rPr>
            <w:rStyle w:val="Hyperlink"/>
            <w:rFonts w:ascii="Calibri" w:hAnsi="Calibri" w:cs="Calibri"/>
          </w:rPr>
          <w:t>Faraday Institution</w:t>
        </w:r>
      </w:hyperlink>
      <w:r w:rsidRPr="002719FC">
        <w:rPr>
          <w:rFonts w:ascii="Calibri" w:hAnsi="Calibri" w:cs="Calibri"/>
          <w:color w:val="000000"/>
        </w:rPr>
        <w:t>.</w:t>
      </w:r>
      <w:r w:rsidR="00D003C7">
        <w:rPr>
          <w:rFonts w:ascii="Calibri" w:hAnsi="Calibri" w:cs="Calibri"/>
          <w:color w:val="000000"/>
        </w:rPr>
        <w:t xml:space="preserve"> </w:t>
      </w:r>
      <w:r w:rsidR="00B07D5E">
        <w:rPr>
          <w:rFonts w:ascii="Calibri" w:hAnsi="Calibri" w:cs="Calibri"/>
          <w:color w:val="000000"/>
        </w:rPr>
        <w:t xml:space="preserve"> </w:t>
      </w:r>
      <w:r w:rsidR="00B07D5E" w:rsidRPr="00A04CAC">
        <w:rPr>
          <w:rFonts w:ascii="Calibri" w:hAnsi="Calibri" w:cs="Calibri"/>
          <w:i/>
          <w:iCs/>
          <w:color w:val="767171" w:themeColor="background2" w:themeShade="80"/>
          <w:highlight w:val="yellow"/>
        </w:rPr>
        <w:t>[</w:t>
      </w:r>
      <w:r w:rsidR="00B07D5E" w:rsidRPr="00A04CAC">
        <w:rPr>
          <w:i/>
          <w:iCs/>
          <w:color w:val="767171" w:themeColor="background2" w:themeShade="80"/>
          <w:highlight w:val="yellow"/>
        </w:rPr>
        <w:t>Please am</w:t>
      </w:r>
      <w:r w:rsidR="0001168D" w:rsidRPr="00A04CAC">
        <w:rPr>
          <w:i/>
          <w:iCs/>
          <w:color w:val="767171" w:themeColor="background2" w:themeShade="80"/>
          <w:highlight w:val="yellow"/>
        </w:rPr>
        <w:t xml:space="preserve">end if </w:t>
      </w:r>
      <w:r w:rsidR="00333E53" w:rsidRPr="00A04CAC">
        <w:rPr>
          <w:i/>
          <w:iCs/>
          <w:color w:val="767171" w:themeColor="background2" w:themeShade="80"/>
          <w:highlight w:val="yellow"/>
        </w:rPr>
        <w:t>university has an agreed rate across all its internship programmes</w:t>
      </w:r>
      <w:r w:rsidR="00304FB4" w:rsidRPr="00A04CAC">
        <w:rPr>
          <w:i/>
          <w:iCs/>
          <w:color w:val="767171" w:themeColor="background2" w:themeShade="80"/>
          <w:highlight w:val="yellow"/>
        </w:rPr>
        <w:t xml:space="preserve"> that is being matched – see grant letter for more details]</w:t>
      </w:r>
      <w:r w:rsidR="00333E53" w:rsidRPr="00304FB4">
        <w:rPr>
          <w:i/>
          <w:iCs/>
          <w:color w:val="767171" w:themeColor="background2" w:themeShade="80"/>
        </w:rPr>
        <w:t xml:space="preserve"> </w:t>
      </w: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0F4ABD0A" w14:textId="32047E01"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685A6514"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Masterclasses</w:t>
      </w:r>
      <w:r w:rsidR="00F77EF2">
        <w:rPr>
          <w:rFonts w:ascii="Calibri" w:hAnsi="Calibri" w:cs="Calibri"/>
          <w:color w:val="000000"/>
        </w:rPr>
        <w:t xml:space="preserve"> </w:t>
      </w:r>
      <w:r w:rsidRPr="002719FC">
        <w:rPr>
          <w:rFonts w:ascii="Calibri" w:hAnsi="Calibri" w:cs="Calibri"/>
          <w:color w:val="000000"/>
        </w:rPr>
        <w:t>and cohort</w:t>
      </w:r>
    </w:p>
    <w:p w14:paraId="54CD60EE" w14:textId="6EE4AE25" w:rsidR="006A0E0D" w:rsidRPr="002719FC" w:rsidRDefault="002719FC" w:rsidP="006A0E0D">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14:paraId="0B11F336" w14:textId="49A906E1" w:rsidR="002719FC" w:rsidRDefault="002719FC" w:rsidP="00E366E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0018C706" w14:textId="77777777" w:rsidR="00E366EC" w:rsidRPr="002719FC" w:rsidRDefault="00E366EC" w:rsidP="00E366EC">
      <w:pPr>
        <w:autoSpaceDE w:val="0"/>
        <w:autoSpaceDN w:val="0"/>
        <w:adjustRightInd w:val="0"/>
        <w:spacing w:after="0" w:line="240" w:lineRule="auto"/>
        <w:rPr>
          <w:rFonts w:ascii="Calibri" w:hAnsi="Calibri" w:cs="Calibri"/>
          <w:color w:val="000000"/>
        </w:rPr>
      </w:pP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t>Application:</w:t>
      </w:r>
    </w:p>
    <w:p w14:paraId="0CABBDAA" w14:textId="426F3C21" w:rsidR="00A04CAC" w:rsidRDefault="00967B34" w:rsidP="00B175F8">
      <w:pPr>
        <w:ind w:right="95"/>
        <w:rPr>
          <w:iCs/>
          <w:lang w:val="en-US"/>
        </w:rPr>
      </w:pPr>
      <w:r w:rsidRPr="00FA17E4">
        <w:rPr>
          <w:iCs/>
          <w:lang w:val="en-US"/>
        </w:rPr>
        <w:t xml:space="preserve">In order to apply for a Faraday </w:t>
      </w:r>
      <w:r w:rsidR="00E37726">
        <w:rPr>
          <w:iCs/>
          <w:lang w:val="en-US"/>
        </w:rPr>
        <w:t xml:space="preserve">Undergraduate Summer Experience (FUSE) </w:t>
      </w:r>
      <w:r w:rsidR="00D6592D">
        <w:rPr>
          <w:iCs/>
          <w:lang w:val="en-US"/>
        </w:rPr>
        <w:t>2022 internship</w:t>
      </w:r>
      <w:r w:rsidRPr="00FA17E4">
        <w:rPr>
          <w:iCs/>
          <w:lang w:val="en-US"/>
        </w:rPr>
        <w:t>, you need to</w:t>
      </w:r>
      <w:r w:rsidR="00A04CAC">
        <w:rPr>
          <w:iCs/>
          <w:lang w:val="en-US"/>
        </w:rPr>
        <w:t>:</w:t>
      </w:r>
    </w:p>
    <w:p w14:paraId="5EC2D269" w14:textId="77777777" w:rsidR="000251EA" w:rsidRPr="000251EA" w:rsidRDefault="000251EA" w:rsidP="00A04CAC">
      <w:pPr>
        <w:pStyle w:val="Footer1"/>
        <w:numPr>
          <w:ilvl w:val="0"/>
          <w:numId w:val="4"/>
        </w:numPr>
        <w:ind w:right="95"/>
        <w:rPr>
          <w:iCs/>
        </w:rPr>
      </w:pPr>
      <w:r>
        <w:t>Background in Engineering, Physi</w:t>
      </w:r>
      <w:r>
        <w:t>cs or similar discipline ideal.</w:t>
      </w:r>
    </w:p>
    <w:p w14:paraId="4DECB9CE" w14:textId="3C5D34E4" w:rsidR="00A04CAC" w:rsidRPr="00A04CAC" w:rsidRDefault="00A04CAC" w:rsidP="00A04CAC">
      <w:pPr>
        <w:pStyle w:val="Footer1"/>
        <w:numPr>
          <w:ilvl w:val="0"/>
          <w:numId w:val="4"/>
        </w:numPr>
        <w:ind w:right="95"/>
        <w:rPr>
          <w:iCs/>
        </w:rPr>
      </w:pPr>
      <w:r>
        <w:t xml:space="preserve">Application </w:t>
      </w:r>
      <w:r w:rsidR="00DA3924">
        <w:t>by:</w:t>
      </w:r>
      <w:r>
        <w:t xml:space="preserve"> </w:t>
      </w:r>
      <w:r w:rsidRPr="00A04CAC">
        <w:rPr>
          <w:highlight w:val="yellow"/>
        </w:rPr>
        <w:t>xyz</w:t>
      </w:r>
    </w:p>
    <w:p w14:paraId="106F17E0" w14:textId="77777777" w:rsidR="00A04CAC" w:rsidRDefault="00A04CAC" w:rsidP="00FA17E4">
      <w:pPr>
        <w:tabs>
          <w:tab w:val="left" w:pos="3320"/>
        </w:tabs>
        <w:rPr>
          <w:b/>
          <w:bCs/>
        </w:rPr>
      </w:pPr>
    </w:p>
    <w:p w14:paraId="7EF9A0A5" w14:textId="7BD40920" w:rsidR="00FA17E4" w:rsidRDefault="00FA17E4" w:rsidP="00FA17E4">
      <w:pPr>
        <w:tabs>
          <w:tab w:val="left" w:pos="3320"/>
        </w:tabs>
        <w:rPr>
          <w:b/>
          <w:bCs/>
        </w:rPr>
      </w:pPr>
      <w:r>
        <w:rPr>
          <w:b/>
          <w:bCs/>
        </w:rPr>
        <w:t>Diversity</w:t>
      </w:r>
    </w:p>
    <w:p w14:paraId="0BCE8540" w14:textId="33A30CC7" w:rsidR="00FA17E4" w:rsidRDefault="00FA17E4" w:rsidP="00FA17E4">
      <w:pPr>
        <w:tabs>
          <w:tab w:val="left" w:pos="3320"/>
        </w:tabs>
      </w:pPr>
      <w:r>
        <w:t>The Faraday Institution is committed to creating a dynamic and diverse pool of talent for the fields of battery technology and energy storage.</w:t>
      </w:r>
    </w:p>
    <w:p w14:paraId="11DC47DD" w14:textId="5826B00D" w:rsidR="00BB28BB" w:rsidRDefault="000251EA" w:rsidP="000251EA">
      <w:pPr>
        <w:tabs>
          <w:tab w:val="left" w:pos="3320"/>
        </w:tabs>
      </w:pPr>
      <w:r>
        <w:t>The University of Sheffield “</w:t>
      </w:r>
      <w:hyperlink r:id="rId13" w:history="1">
        <w:r w:rsidRPr="000251EA">
          <w:rPr>
            <w:rStyle w:val="Hyperlink"/>
          </w:rPr>
          <w:t>Equality, Diversity and Inclusion Policy for students</w:t>
        </w:r>
      </w:hyperlink>
      <w:r>
        <w:t xml:space="preserve">” </w:t>
      </w:r>
      <w:r w:rsidRPr="000251EA">
        <w:t>for ensuring that all prospective and curre</w:t>
      </w:r>
      <w:r>
        <w:t>nt students are treated equally:</w:t>
      </w:r>
    </w:p>
    <w:p w14:paraId="16CB8293" w14:textId="77777777" w:rsidR="000251EA" w:rsidRDefault="000251EA" w:rsidP="000251EA">
      <w:pPr>
        <w:tabs>
          <w:tab w:val="left" w:pos="3320"/>
        </w:tabs>
      </w:pPr>
      <w:r>
        <w:t>1. General statement</w:t>
      </w:r>
    </w:p>
    <w:p w14:paraId="185CFFE5" w14:textId="77777777" w:rsidR="000251EA" w:rsidRDefault="000251EA" w:rsidP="000251EA">
      <w:pPr>
        <w:tabs>
          <w:tab w:val="left" w:pos="3320"/>
        </w:tabs>
      </w:pPr>
      <w:r>
        <w:t>1.1 The University of Sheffield is committed to equality of opportunity and to fostering good relations, for students and prospective students.</w:t>
      </w:r>
      <w:bookmarkStart w:id="0" w:name="_GoBack"/>
      <w:bookmarkEnd w:id="0"/>
    </w:p>
    <w:p w14:paraId="02E8BC77" w14:textId="77777777" w:rsidR="000251EA" w:rsidRDefault="000251EA" w:rsidP="000251EA">
      <w:pPr>
        <w:tabs>
          <w:tab w:val="left" w:pos="3320"/>
        </w:tabs>
      </w:pPr>
      <w:r>
        <w:t>It is the University's policy to treat all students with dignity and respect, irrespective of protected characteristics, as defined by the Equality Act 2010. The University aims to enact this in all its functions:</w:t>
      </w:r>
    </w:p>
    <w:p w14:paraId="5DBA6CA2" w14:textId="77777777" w:rsidR="000251EA" w:rsidRDefault="000251EA" w:rsidP="000251EA">
      <w:pPr>
        <w:pStyle w:val="Body"/>
      </w:pPr>
      <w:r>
        <w:t>Access and recruitment.</w:t>
      </w:r>
    </w:p>
    <w:p w14:paraId="53E6678E" w14:textId="77777777" w:rsidR="000251EA" w:rsidRDefault="000251EA" w:rsidP="000251EA">
      <w:pPr>
        <w:pStyle w:val="Body"/>
      </w:pPr>
      <w:r>
        <w:t>Admissions and retention.</w:t>
      </w:r>
    </w:p>
    <w:p w14:paraId="491F9138" w14:textId="77777777" w:rsidR="000251EA" w:rsidRDefault="000251EA" w:rsidP="000251EA">
      <w:pPr>
        <w:pStyle w:val="Body"/>
      </w:pPr>
      <w:r>
        <w:t>Assessments and progression.</w:t>
      </w:r>
    </w:p>
    <w:p w14:paraId="5B12FAFE" w14:textId="77777777" w:rsidR="000251EA" w:rsidRDefault="000251EA" w:rsidP="000251EA">
      <w:pPr>
        <w:pStyle w:val="Body"/>
      </w:pPr>
      <w:r>
        <w:t>Provision of student services and related facilities.</w:t>
      </w:r>
    </w:p>
    <w:p w14:paraId="0233C076" w14:textId="77777777" w:rsidR="000251EA" w:rsidRDefault="000251EA" w:rsidP="000251EA">
      <w:pPr>
        <w:pStyle w:val="Body"/>
      </w:pPr>
      <w:r>
        <w:t>Teaching, learning, examining, curriculum development and quality assurance.</w:t>
      </w:r>
    </w:p>
    <w:p w14:paraId="166B2EB5" w14:textId="77777777" w:rsidR="000251EA" w:rsidRDefault="000251EA" w:rsidP="000251EA">
      <w:pPr>
        <w:pStyle w:val="Body"/>
      </w:pPr>
      <w:r>
        <w:t>Research.</w:t>
      </w:r>
    </w:p>
    <w:p w14:paraId="28EBA64E" w14:textId="36B39188" w:rsidR="000251EA" w:rsidRDefault="000251EA" w:rsidP="000251EA">
      <w:pPr>
        <w:pStyle w:val="Body"/>
      </w:pPr>
      <w:r>
        <w:t>Community links and partnerships.</w:t>
      </w:r>
    </w:p>
    <w:p w14:paraId="21E2CDCC" w14:textId="77777777" w:rsidR="000251EA" w:rsidRDefault="000251EA" w:rsidP="000251EA">
      <w:pPr>
        <w:pStyle w:val="Body"/>
        <w:numPr>
          <w:ilvl w:val="0"/>
          <w:numId w:val="0"/>
        </w:numPr>
      </w:pPr>
    </w:p>
    <w:p w14:paraId="0B43D113" w14:textId="695C65EF" w:rsidR="000251EA" w:rsidRDefault="000251EA" w:rsidP="000251EA">
      <w:pPr>
        <w:tabs>
          <w:tab w:val="left" w:pos="3320"/>
        </w:tabs>
      </w:pPr>
      <w:r>
        <w:t>1.2 The aim of the policy is to ensure that all students and prospective students are treated equally, irrespective of race, colour, nationality, ethnic origin, sex, gender reassignment, sexual orientation, marital (including civil partnerships) or parental status, pregnancy and maternity, age, disability, religion and belief or socio-economic class</w:t>
      </w:r>
      <w:r>
        <w:t xml:space="preserve"> or spent criminal convictions.</w:t>
      </w:r>
    </w:p>
    <w:p w14:paraId="43B88CDC" w14:textId="77777777" w:rsidR="000251EA" w:rsidRDefault="000251EA" w:rsidP="000251EA">
      <w:pPr>
        <w:tabs>
          <w:tab w:val="left" w:pos="3320"/>
        </w:tabs>
      </w:pPr>
      <w:r>
        <w:t>1.3 The University's Equality, Diversity and Inclusion Policy for students is augmented by specific policies on personal harassment and the support of students with disabilities.</w:t>
      </w:r>
    </w:p>
    <w:p w14:paraId="1A00AE4A" w14:textId="77777777" w:rsidR="000251EA" w:rsidRDefault="000251EA" w:rsidP="000251EA">
      <w:pPr>
        <w:tabs>
          <w:tab w:val="left" w:pos="3320"/>
        </w:tabs>
      </w:pPr>
    </w:p>
    <w:p w14:paraId="380FD737" w14:textId="019C49E1" w:rsidR="000251EA" w:rsidRDefault="000251EA" w:rsidP="000251EA">
      <w:pPr>
        <w:tabs>
          <w:tab w:val="left" w:pos="3320"/>
        </w:tabs>
      </w:pPr>
      <w:r>
        <w:lastRenderedPageBreak/>
        <w:t>It reflects and complements the University's Equality and Diversity Policy and Code of Practice for Staff. It operates within the context of r</w:t>
      </w:r>
      <w:r>
        <w:t>elevant equalities legislation.</w:t>
      </w:r>
    </w:p>
    <w:p w14:paraId="52C029D4" w14:textId="77777777" w:rsidR="000251EA" w:rsidRDefault="000251EA" w:rsidP="000251EA">
      <w:pPr>
        <w:tabs>
          <w:tab w:val="left" w:pos="3320"/>
        </w:tabs>
      </w:pPr>
      <w:r>
        <w:t>2. Statement of commitment</w:t>
      </w:r>
    </w:p>
    <w:p w14:paraId="07EDDAE1" w14:textId="63CAF95A" w:rsidR="000251EA" w:rsidRDefault="000251EA" w:rsidP="000251EA">
      <w:pPr>
        <w:tabs>
          <w:tab w:val="left" w:pos="3320"/>
        </w:tabs>
      </w:pPr>
      <w:r>
        <w:t>2.1 Students will:</w:t>
      </w:r>
    </w:p>
    <w:p w14:paraId="4AF2B15F" w14:textId="77777777" w:rsidR="000251EA" w:rsidRDefault="000251EA" w:rsidP="000251EA">
      <w:pPr>
        <w:pStyle w:val="Body"/>
      </w:pPr>
      <w:r>
        <w:t>respect the University's Equality, Diversity and Inclusion Policy in their dealings with members of the University community</w:t>
      </w:r>
    </w:p>
    <w:p w14:paraId="5B8B55DD" w14:textId="77777777" w:rsidR="000251EA" w:rsidRDefault="000251EA" w:rsidP="000251EA">
      <w:pPr>
        <w:pStyle w:val="Body"/>
      </w:pPr>
      <w:r>
        <w:t>behave in a way that reflects and appreciates the diversity of the University community</w:t>
      </w:r>
    </w:p>
    <w:p w14:paraId="77428C37" w14:textId="07BC1D28" w:rsidR="000251EA" w:rsidRDefault="000251EA" w:rsidP="000251EA">
      <w:pPr>
        <w:tabs>
          <w:tab w:val="left" w:pos="3320"/>
        </w:tabs>
      </w:pPr>
      <w:r>
        <w:t>The University is committed to a continuing programme of action to make these policies effective. Breaches of this policy by students or staff will be fairly investigated and ap</w:t>
      </w:r>
      <w:r>
        <w:t>propriate action will be taken.</w:t>
      </w:r>
    </w:p>
    <w:p w14:paraId="514232C1" w14:textId="516D6A39" w:rsidR="000251EA" w:rsidRDefault="000251EA" w:rsidP="000251EA">
      <w:pPr>
        <w:tabs>
          <w:tab w:val="left" w:pos="3320"/>
        </w:tabs>
      </w:pPr>
      <w:r>
        <w:t xml:space="preserve">All disciplinary procedures will be </w:t>
      </w:r>
      <w:r>
        <w:t>fair, consistent and monitored.</w:t>
      </w:r>
    </w:p>
    <w:p w14:paraId="2853C03C" w14:textId="699629CA" w:rsidR="000251EA" w:rsidRDefault="000251EA" w:rsidP="000251EA">
      <w:pPr>
        <w:tabs>
          <w:tab w:val="left" w:pos="3320"/>
        </w:tabs>
      </w:pPr>
      <w:r>
        <w:t>2.2 Complaints, dis</w:t>
      </w:r>
      <w:r>
        <w:t>ciplinary and appeals procedure</w:t>
      </w:r>
    </w:p>
    <w:p w14:paraId="6B837C49" w14:textId="3E562469" w:rsidR="000251EA" w:rsidRDefault="000251EA" w:rsidP="000251EA">
      <w:pPr>
        <w:tabs>
          <w:tab w:val="left" w:pos="3320"/>
        </w:tabs>
      </w:pPr>
      <w:r>
        <w:t>Any student who alleges that they have been the subject of discrimination or harassment has recourse to the University's harassment or complaints procedures for students. Advice may be obtained</w:t>
      </w:r>
      <w:r>
        <w:t xml:space="preserve"> from Student Support Services.</w:t>
      </w:r>
    </w:p>
    <w:p w14:paraId="7EBF33EB" w14:textId="20F475AC" w:rsidR="000251EA" w:rsidRDefault="000251EA" w:rsidP="000251EA">
      <w:pPr>
        <w:tabs>
          <w:tab w:val="left" w:pos="3320"/>
        </w:tabs>
      </w:pPr>
      <w:hyperlink r:id="rId14" w:history="1">
        <w:r w:rsidRPr="000251EA">
          <w:rPr>
            <w:rStyle w:val="Hyperlink"/>
          </w:rPr>
          <w:t>See our complaints and appeals procedures</w:t>
        </w:r>
      </w:hyperlink>
    </w:p>
    <w:p w14:paraId="5EECEFD5" w14:textId="26BE95F7" w:rsidR="000251EA" w:rsidRDefault="000251EA" w:rsidP="000251EA">
      <w:pPr>
        <w:tabs>
          <w:tab w:val="left" w:pos="3320"/>
        </w:tabs>
      </w:pPr>
      <w:r>
        <w:t>2.3 Mo</w:t>
      </w:r>
      <w:r>
        <w:t>nitoring, assessment and review</w:t>
      </w:r>
    </w:p>
    <w:p w14:paraId="6855E861" w14:textId="2C75C6F0" w:rsidR="000251EA" w:rsidRDefault="000251EA" w:rsidP="000251EA">
      <w:pPr>
        <w:tabs>
          <w:tab w:val="left" w:pos="3320"/>
        </w:tabs>
      </w:pPr>
      <w:r>
        <w:t>The University will monitor, assess and review the effectiveness of the Equality, Diversity and Inclusion Policy and the impact of all other relevant policies and practices on students. The University Council will appro</w:t>
      </w:r>
      <w:r>
        <w:t>ve any revisions to the policy.</w:t>
      </w:r>
    </w:p>
    <w:p w14:paraId="0B445327" w14:textId="42C0C707" w:rsidR="000251EA" w:rsidRPr="00BB28BB" w:rsidRDefault="000251EA" w:rsidP="000251EA">
      <w:pPr>
        <w:tabs>
          <w:tab w:val="left" w:pos="3320"/>
        </w:tabs>
      </w:pPr>
      <w:r>
        <w:t>All of the University's functions relating to student equality, diversity and inclusion will continue to be monitored and reviewed. This work is overseen by the University Equality, Diversity and Inclusion Committee.</w:t>
      </w:r>
    </w:p>
    <w:sectPr w:rsidR="000251EA" w:rsidRPr="00BB28BB" w:rsidSect="00FA6B13">
      <w:headerReference w:type="default" r:id="rId1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4E7A" w14:textId="77777777" w:rsidR="004334C6" w:rsidRDefault="004334C6" w:rsidP="00F44E5E">
      <w:pPr>
        <w:spacing w:after="0" w:line="240" w:lineRule="auto"/>
      </w:pPr>
      <w:r>
        <w:separator/>
      </w:r>
    </w:p>
  </w:endnote>
  <w:endnote w:type="continuationSeparator" w:id="0">
    <w:p w14:paraId="6308FCAA" w14:textId="77777777" w:rsidR="004334C6" w:rsidRDefault="004334C6"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7A0CC" w14:textId="77777777" w:rsidR="004334C6" w:rsidRDefault="004334C6" w:rsidP="00F44E5E">
      <w:pPr>
        <w:spacing w:after="0" w:line="240" w:lineRule="auto"/>
      </w:pPr>
      <w:r>
        <w:separator/>
      </w:r>
    </w:p>
  </w:footnote>
  <w:footnote w:type="continuationSeparator" w:id="0">
    <w:p w14:paraId="79D0FA1D" w14:textId="77777777" w:rsidR="004334C6" w:rsidRDefault="004334C6" w:rsidP="00F4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DC9F" w14:textId="0DA7950F" w:rsidR="00F44E5E" w:rsidRPr="00FA6B13" w:rsidRDefault="00FA6B13" w:rsidP="009D2AF7">
    <w:pPr>
      <w:pStyle w:val="Header"/>
      <w:spacing w:after="240"/>
    </w:pPr>
    <w:r>
      <w:rPr>
        <w:noProof/>
        <w:lang w:eastAsia="en-GB"/>
      </w:rPr>
      <w:drawing>
        <wp:inline distT="0" distB="0" distL="0" distR="0" wp14:anchorId="1345922F" wp14:editId="2CBD07F9">
          <wp:extent cx="3048611" cy="495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Faraday Institution SafeBa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1405" cy="544494"/>
                  </a:xfrm>
                  <a:prstGeom prst="rect">
                    <a:avLst/>
                  </a:prstGeom>
                </pic:spPr>
              </pic:pic>
            </a:graphicData>
          </a:graphic>
        </wp:inline>
      </w:drawing>
    </w:r>
    <w:r>
      <w:tab/>
    </w:r>
    <w:r>
      <w:rPr>
        <w:noProof/>
        <w:lang w:eastAsia="en-GB"/>
      </w:rPr>
      <w:drawing>
        <wp:inline distT="0" distB="0" distL="0" distR="0" wp14:anchorId="2E215AC8" wp14:editId="0C71C955">
          <wp:extent cx="1603411" cy="486003"/>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OS_PRIMARY_LOGO_FULL COLOUR.jpg"/>
                  <pic:cNvPicPr/>
                </pic:nvPicPr>
                <pic:blipFill rotWithShape="1">
                  <a:blip r:embed="rId2" cstate="print">
                    <a:extLst>
                      <a:ext uri="{28A0092B-C50C-407E-A947-70E740481C1C}">
                        <a14:useLocalDpi xmlns:a14="http://schemas.microsoft.com/office/drawing/2010/main" val="0"/>
                      </a:ext>
                    </a:extLst>
                  </a:blip>
                  <a:srcRect t="10824" b="14139"/>
                  <a:stretch/>
                </pic:blipFill>
                <pic:spPr bwMode="auto">
                  <a:xfrm>
                    <a:off x="0" y="0"/>
                    <a:ext cx="1842549" cy="55848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B332F"/>
    <w:multiLevelType w:val="hybridMultilevel"/>
    <w:tmpl w:val="B6D8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76380"/>
    <w:multiLevelType w:val="hybridMultilevel"/>
    <w:tmpl w:val="F996BA34"/>
    <w:lvl w:ilvl="0" w:tplc="E2264A04">
      <w:start w:val="1"/>
      <w:numFmt w:val="bullet"/>
      <w:pStyle w:val="Body"/>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34"/>
    <w:rsid w:val="0001168D"/>
    <w:rsid w:val="00012582"/>
    <w:rsid w:val="000251EA"/>
    <w:rsid w:val="00034878"/>
    <w:rsid w:val="000452FF"/>
    <w:rsid w:val="000B0511"/>
    <w:rsid w:val="0013517F"/>
    <w:rsid w:val="001B48D0"/>
    <w:rsid w:val="001D4756"/>
    <w:rsid w:val="001F4FF5"/>
    <w:rsid w:val="0022175B"/>
    <w:rsid w:val="002719FC"/>
    <w:rsid w:val="0027389D"/>
    <w:rsid w:val="0029295C"/>
    <w:rsid w:val="002D1335"/>
    <w:rsid w:val="00304FB4"/>
    <w:rsid w:val="00333E53"/>
    <w:rsid w:val="00340C06"/>
    <w:rsid w:val="003B35F5"/>
    <w:rsid w:val="003F0AAD"/>
    <w:rsid w:val="004334C6"/>
    <w:rsid w:val="00446CB1"/>
    <w:rsid w:val="004C67B3"/>
    <w:rsid w:val="0054050D"/>
    <w:rsid w:val="005848DC"/>
    <w:rsid w:val="00685BFA"/>
    <w:rsid w:val="006A0E0D"/>
    <w:rsid w:val="007546A2"/>
    <w:rsid w:val="007B0A95"/>
    <w:rsid w:val="007E6B7D"/>
    <w:rsid w:val="008258E5"/>
    <w:rsid w:val="008512C6"/>
    <w:rsid w:val="00941F6F"/>
    <w:rsid w:val="00944BBD"/>
    <w:rsid w:val="00967B34"/>
    <w:rsid w:val="009D2AF7"/>
    <w:rsid w:val="009F7E01"/>
    <w:rsid w:val="00A0109B"/>
    <w:rsid w:val="00A04CAC"/>
    <w:rsid w:val="00A54FF7"/>
    <w:rsid w:val="00AB6B9F"/>
    <w:rsid w:val="00B0739E"/>
    <w:rsid w:val="00B0759B"/>
    <w:rsid w:val="00B07D5E"/>
    <w:rsid w:val="00B138D5"/>
    <w:rsid w:val="00B175F8"/>
    <w:rsid w:val="00B2106F"/>
    <w:rsid w:val="00B6135A"/>
    <w:rsid w:val="00B649C3"/>
    <w:rsid w:val="00BA1BF3"/>
    <w:rsid w:val="00BB28BB"/>
    <w:rsid w:val="00BC7272"/>
    <w:rsid w:val="00C0418B"/>
    <w:rsid w:val="00C210D3"/>
    <w:rsid w:val="00C6081F"/>
    <w:rsid w:val="00C67B95"/>
    <w:rsid w:val="00CA7145"/>
    <w:rsid w:val="00CE4731"/>
    <w:rsid w:val="00CF10A9"/>
    <w:rsid w:val="00D003C7"/>
    <w:rsid w:val="00D31C88"/>
    <w:rsid w:val="00D6592D"/>
    <w:rsid w:val="00DA3924"/>
    <w:rsid w:val="00DC0CDB"/>
    <w:rsid w:val="00DC2384"/>
    <w:rsid w:val="00E2282E"/>
    <w:rsid w:val="00E25C30"/>
    <w:rsid w:val="00E366EC"/>
    <w:rsid w:val="00E37726"/>
    <w:rsid w:val="00EC66F9"/>
    <w:rsid w:val="00EF4C7A"/>
    <w:rsid w:val="00F0325D"/>
    <w:rsid w:val="00F034AE"/>
    <w:rsid w:val="00F240C7"/>
    <w:rsid w:val="00F27632"/>
    <w:rsid w:val="00F44E5E"/>
    <w:rsid w:val="00F51A42"/>
    <w:rsid w:val="00F729FB"/>
    <w:rsid w:val="00F77EF2"/>
    <w:rsid w:val="00F85167"/>
    <w:rsid w:val="00FA17E4"/>
    <w:rsid w:val="00FA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customStyle="1"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autoRedefine/>
    <w:rsid w:val="00A04CAC"/>
    <w:pPr>
      <w:numPr>
        <w:numId w:val="4"/>
      </w:numPr>
      <w:spacing w:after="0" w:line="240" w:lineRule="auto"/>
    </w:pPr>
    <w:rPr>
      <w:rFonts w:ascii="Calibri" w:eastAsia="Calibri" w:hAnsi="Calibri" w:cs="Calibri"/>
      <w:color w:val="000000"/>
      <w:u w:color="000000"/>
      <w:lang w:val="en-US" w:eastAsia="en-GB"/>
    </w:rPr>
  </w:style>
  <w:style w:type="paragraph" w:customStyle="1" w:styleId="Footer1">
    <w:name w:val="Footer1"/>
    <w:autoRedefine/>
    <w:rsid w:val="00A04CAC"/>
    <w:pPr>
      <w:tabs>
        <w:tab w:val="center" w:pos="4513"/>
        <w:tab w:val="right" w:pos="9026"/>
      </w:tabs>
      <w:spacing w:after="0" w:line="240"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5094">
      <w:bodyDiv w:val="1"/>
      <w:marLeft w:val="0"/>
      <w:marRight w:val="0"/>
      <w:marTop w:val="0"/>
      <w:marBottom w:val="0"/>
      <w:divBdr>
        <w:top w:val="none" w:sz="0" w:space="0" w:color="auto"/>
        <w:left w:val="none" w:sz="0" w:space="0" w:color="auto"/>
        <w:bottom w:val="none" w:sz="0" w:space="0" w:color="auto"/>
        <w:right w:val="none" w:sz="0" w:space="0" w:color="auto"/>
      </w:divBdr>
      <w:divsChild>
        <w:div w:id="860436017">
          <w:marLeft w:val="0"/>
          <w:marRight w:val="0"/>
          <w:marTop w:val="0"/>
          <w:marBottom w:val="0"/>
          <w:divBdr>
            <w:top w:val="none" w:sz="0" w:space="0" w:color="auto"/>
            <w:left w:val="none" w:sz="0" w:space="0" w:color="auto"/>
            <w:bottom w:val="none" w:sz="0" w:space="0" w:color="auto"/>
            <w:right w:val="none" w:sz="0" w:space="0" w:color="auto"/>
          </w:divBdr>
          <w:divsChild>
            <w:div w:id="1167480372">
              <w:marLeft w:val="0"/>
              <w:marRight w:val="0"/>
              <w:marTop w:val="0"/>
              <w:marBottom w:val="0"/>
              <w:divBdr>
                <w:top w:val="none" w:sz="0" w:space="0" w:color="auto"/>
                <w:left w:val="none" w:sz="0" w:space="0" w:color="auto"/>
                <w:bottom w:val="none" w:sz="0" w:space="0" w:color="auto"/>
                <w:right w:val="none" w:sz="0" w:space="0" w:color="auto"/>
              </w:divBdr>
              <w:divsChild>
                <w:div w:id="12624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5599">
          <w:marLeft w:val="0"/>
          <w:marRight w:val="0"/>
          <w:marTop w:val="0"/>
          <w:marBottom w:val="0"/>
          <w:divBdr>
            <w:top w:val="none" w:sz="0" w:space="0" w:color="auto"/>
            <w:left w:val="none" w:sz="0" w:space="0" w:color="auto"/>
            <w:bottom w:val="none" w:sz="0" w:space="0" w:color="auto"/>
            <w:right w:val="none" w:sz="0" w:space="0" w:color="auto"/>
          </w:divBdr>
          <w:divsChild>
            <w:div w:id="4761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ac.uk/study/policies/equality-and-diversit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ada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aday.ac.uk/fuse-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ac.uk/study/policies/appeals-complaints-current-stud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3" ma:contentTypeDescription="Create a new document." ma:contentTypeScope="" ma:versionID="a51f50e665e15816cd516c6c27cef1e8">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801868caa1c571ae33ddff49203cca1e"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3.xml><?xml version="1.0" encoding="utf-8"?>
<ds:datastoreItem xmlns:ds="http://schemas.openxmlformats.org/officeDocument/2006/customXml" ds:itemID="{95D753E2-D133-4366-AA06-3C3C11AD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7C772-DCAB-41AE-9B9F-D9712272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Peter Bugryniec</cp:lastModifiedBy>
  <cp:revision>6</cp:revision>
  <dcterms:created xsi:type="dcterms:W3CDTF">2022-03-23T13:10:00Z</dcterms:created>
  <dcterms:modified xsi:type="dcterms:W3CDTF">2022-03-23T13:18:00Z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