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pos="3320"/>
        </w:tabs>
        <w:rPr>
          <w:b w:val="1"/>
        </w:rPr>
      </w:pPr>
      <w:r w:rsidDel="00000000" w:rsidR="00000000" w:rsidRPr="00000000">
        <w:rPr>
          <w:b w:val="1"/>
          <w:rtl w:val="0"/>
        </w:rPr>
        <w:t xml:space="preserve">Exciting </w:t>
      </w:r>
      <w:hyperlink r:id="rId7">
        <w:r w:rsidDel="00000000" w:rsidR="00000000" w:rsidRPr="00000000">
          <w:rPr>
            <w:b w:val="1"/>
            <w:color w:val="0563c1"/>
            <w:u w:val="single"/>
            <w:rtl w:val="0"/>
          </w:rPr>
          <w:t xml:space="preserve">Faraday Undergraduate Summer Experience (FUSE)</w:t>
        </w:r>
      </w:hyperlink>
      <w:r w:rsidDel="00000000" w:rsidR="00000000" w:rsidRPr="00000000">
        <w:rPr>
          <w:b w:val="1"/>
          <w:rtl w:val="0"/>
        </w:rPr>
        <w:t xml:space="preserve"> paid internship opportunities for summer 2022.</w:t>
      </w:r>
    </w:p>
    <w:p w:rsidR="00000000" w:rsidDel="00000000" w:rsidP="00000000" w:rsidRDefault="00000000" w:rsidRPr="00000000" w14:paraId="00000003">
      <w:pPr>
        <w:tabs>
          <w:tab w:val="left" w:pos="3320"/>
        </w:tabs>
        <w:rPr/>
      </w:pPr>
      <w:r w:rsidDel="00000000" w:rsidR="00000000" w:rsidRPr="00000000">
        <w:rPr>
          <w:rtl w:val="0"/>
        </w:rPr>
        <w:t xml:space="preserve">Studying a STEM degree?  Wondering what career to pursue?  Interested in finding out more about the battery sector?  Keen to spend time with a dynamic community of pioneering battery researchers seeking to find solutions to support a fully electric future?</w:t>
      </w:r>
    </w:p>
    <w:p w:rsidR="00000000" w:rsidDel="00000000" w:rsidP="00000000" w:rsidRDefault="00000000" w:rsidRPr="00000000" w14:paraId="00000004">
      <w:pPr>
        <w:tabs>
          <w:tab w:val="left" w:pos="3320"/>
        </w:tabs>
        <w:rPr/>
      </w:pPr>
      <w:r w:rsidDel="00000000" w:rsidR="00000000" w:rsidRPr="00000000">
        <w:rPr>
          <w:rtl w:val="0"/>
        </w:rPr>
        <w:t xml:space="preserve">The Faraday Institution is offering a total of 56 internships, for undergraduate students to spend 8 weeks working on battery related projects.  </w:t>
      </w:r>
    </w:p>
    <w:p w:rsidR="00000000" w:rsidDel="00000000" w:rsidP="00000000" w:rsidRDefault="00000000" w:rsidRPr="00000000" w14:paraId="00000005">
      <w:pPr>
        <w:tabs>
          <w:tab w:val="left" w:pos="3320"/>
        </w:tabs>
        <w:rPr>
          <w:color w:val="767171"/>
        </w:rPr>
      </w:pPr>
      <w:r w:rsidDel="00000000" w:rsidR="00000000" w:rsidRPr="00000000">
        <w:rPr>
          <w:b w:val="1"/>
          <w:rtl w:val="0"/>
        </w:rPr>
        <w:t xml:space="preserve">Project title:</w:t>
      </w:r>
      <w:hyperlink r:id="rId8">
        <w:r w:rsidDel="00000000" w:rsidR="00000000" w:rsidRPr="00000000">
          <w:rPr>
            <w:b w:val="1"/>
            <w:color w:val="0563c1"/>
            <w:u w:val="single"/>
            <w:rtl w:val="0"/>
          </w:rPr>
          <w:t xml:space="preserve"> </w:t>
        </w:r>
      </w:hyperlink>
      <w:hyperlink r:id="rId9">
        <w:r w:rsidDel="00000000" w:rsidR="00000000" w:rsidRPr="00000000">
          <w:rPr>
            <w:color w:val="0563c1"/>
            <w:u w:val="single"/>
            <w:rtl w:val="0"/>
          </w:rPr>
          <w:t xml:space="preserve">Nextrode</w:t>
        </w:r>
      </w:hyperlink>
      <w:r w:rsidDel="00000000" w:rsidR="00000000" w:rsidRPr="00000000">
        <w:rPr>
          <w:rtl w:val="0"/>
        </w:rPr>
        <w:t xml:space="preserve"> – Robotic Cell assembly for engagement and outreach</w:t>
      </w:r>
      <w:r w:rsidDel="00000000" w:rsidR="00000000" w:rsidRPr="00000000">
        <w:rPr>
          <w:rtl w:val="0"/>
        </w:rPr>
      </w:r>
    </w:p>
    <w:p w:rsidR="00000000" w:rsidDel="00000000" w:rsidP="00000000" w:rsidRDefault="00000000" w:rsidRPr="00000000" w14:paraId="00000006">
      <w:pPr>
        <w:tabs>
          <w:tab w:val="left" w:pos="3320"/>
        </w:tabs>
        <w:rPr>
          <w:color w:val="000000"/>
          <w:highlight w:val="white"/>
        </w:rPr>
      </w:pPr>
      <w:r w:rsidDel="00000000" w:rsidR="00000000" w:rsidRPr="00000000">
        <w:rPr>
          <w:b w:val="1"/>
          <w:rtl w:val="0"/>
        </w:rPr>
        <w:t xml:space="preserve">Project description:</w:t>
      </w:r>
      <w:r w:rsidDel="00000000" w:rsidR="00000000" w:rsidRPr="00000000">
        <w:rPr>
          <w:rtl w:val="0"/>
        </w:rPr>
        <w:t xml:space="preserve"> </w:t>
      </w:r>
      <w:r w:rsidDel="00000000" w:rsidR="00000000" w:rsidRPr="00000000">
        <w:rPr>
          <w:color w:val="000000"/>
          <w:highlight w:val="white"/>
          <w:rtl w:val="0"/>
        </w:rPr>
        <w:t xml:space="preserve">We want to build a demonstrator automatic cell assembly system that uses a robotic arm to quickly and dynamically build the components of a coin cell and pouch cell to show academics, students and (potentially members of the public) what goes into a lithium ion battery. To accompany this, there will be a screen explaining the details, working principle, and microstructure of the cell components. This project could lead to impact through engagement at several levels within the University and has the potential to be rolled out to other spaces or environments, such as science fairs, school visits and museums. There is also the possibility to use what has been learnt in robotics assembly to have direct applications in research for the assembly of research cell.</w:t>
      </w:r>
    </w:p>
    <w:p w:rsidR="00000000" w:rsidDel="00000000" w:rsidP="00000000" w:rsidRDefault="00000000" w:rsidRPr="00000000" w14:paraId="00000007">
      <w:pPr>
        <w:tabs>
          <w:tab w:val="left" w:pos="3320"/>
        </w:tabs>
        <w:rPr>
          <w:color w:val="767171"/>
        </w:rPr>
      </w:pPr>
      <w:r w:rsidDel="00000000" w:rsidR="00000000" w:rsidRPr="00000000">
        <w:rPr>
          <w:b w:val="1"/>
          <w:rtl w:val="0"/>
        </w:rPr>
        <w:t xml:space="preserve">Supervisor: </w:t>
      </w:r>
      <w:r w:rsidDel="00000000" w:rsidR="00000000" w:rsidRPr="00000000">
        <w:rPr>
          <w:rtl w:val="0"/>
        </w:rPr>
        <w:t xml:space="preserve">Dr Denis Cumming</w:t>
      </w:r>
      <w:r w:rsidDel="00000000" w:rsidR="00000000" w:rsidRPr="00000000">
        <w:rPr>
          <w:rtl w:val="0"/>
        </w:rPr>
      </w:r>
    </w:p>
    <w:p w:rsidR="00000000" w:rsidDel="00000000" w:rsidP="00000000" w:rsidRDefault="00000000" w:rsidRPr="00000000" w14:paraId="00000008">
      <w:pPr>
        <w:tabs>
          <w:tab w:val="left" w:pos="3320"/>
        </w:tabs>
        <w:rPr>
          <w:b w:val="1"/>
        </w:rPr>
      </w:pPr>
      <w:r w:rsidDel="00000000" w:rsidR="00000000" w:rsidRPr="00000000">
        <w:rPr>
          <w:b w:val="1"/>
          <w:rtl w:val="0"/>
        </w:rPr>
        <w:t xml:space="preserve">University: </w:t>
      </w:r>
      <w:r w:rsidDel="00000000" w:rsidR="00000000" w:rsidRPr="00000000">
        <w:rPr>
          <w:color w:val="000000"/>
          <w:rtl w:val="0"/>
        </w:rPr>
        <w:t xml:space="preserve">University of Sheffield</w:t>
      </w:r>
      <w:r w:rsidDel="00000000" w:rsidR="00000000" w:rsidRPr="00000000">
        <w:rPr>
          <w:rtl w:val="0"/>
        </w:rPr>
      </w:r>
    </w:p>
    <w:p w:rsidR="00000000" w:rsidDel="00000000" w:rsidP="00000000" w:rsidRDefault="00000000" w:rsidRPr="00000000" w14:paraId="00000009">
      <w:pPr>
        <w:tabs>
          <w:tab w:val="left" w:pos="3320"/>
        </w:tabs>
        <w:rPr>
          <w:i w:val="1"/>
          <w:color w:val="767171"/>
        </w:rPr>
      </w:pPr>
      <w:r w:rsidDel="00000000" w:rsidR="00000000" w:rsidRPr="00000000">
        <w:rPr>
          <w:b w:val="1"/>
          <w:rtl w:val="0"/>
        </w:rPr>
        <w:t xml:space="preserve">Location: </w:t>
      </w:r>
      <w:r w:rsidDel="00000000" w:rsidR="00000000" w:rsidRPr="00000000">
        <w:rPr>
          <w:color w:val="000000"/>
          <w:rtl w:val="0"/>
        </w:rPr>
        <w:t xml:space="preserve">In-person</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0A">
      <w:pPr>
        <w:tabs>
          <w:tab w:val="left" w:pos="3320"/>
        </w:tabs>
        <w:rPr>
          <w:b w:val="1"/>
          <w:color w:val="ff0000"/>
        </w:rPr>
      </w:pPr>
      <w:r w:rsidDel="00000000" w:rsidR="00000000" w:rsidRPr="00000000">
        <w:rPr>
          <w:b w:val="1"/>
          <w:rtl w:val="0"/>
        </w:rPr>
        <w:t xml:space="preserve">Start date: </w:t>
      </w:r>
      <w:r w:rsidDel="00000000" w:rsidR="00000000" w:rsidRPr="00000000">
        <w:rPr>
          <w:rFonts w:ascii="Calibri" w:cs="Calibri" w:eastAsia="Calibri" w:hAnsi="Calibri"/>
          <w:color w:val="000000"/>
          <w:rtl w:val="0"/>
        </w:rPr>
        <w:t xml:space="preserve">The internship is a full-time role for 8 weeks from 27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June – 19</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August 2022.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registered full-time undergraduate student from a UK university.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Undertake the internship within the years of their undergraduate study (i.e., not in final year or during a subsequent Masters’ programme).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have been a FUSE intern in a previous year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salary of £9.90 / hour across the UK or £11.05 / hour in London will be provided. This will be</w:t>
      </w:r>
    </w:p>
    <w:p w:rsidR="00000000" w:rsidDel="00000000" w:rsidP="00000000" w:rsidRDefault="00000000" w:rsidRPr="00000000" w14:paraId="00000014">
      <w:pPr>
        <w:spacing w:after="0" w:line="240" w:lineRule="auto"/>
        <w:rPr>
          <w:i w:val="1"/>
          <w:color w:val="767171"/>
        </w:rPr>
      </w:pPr>
      <w:r w:rsidDel="00000000" w:rsidR="00000000" w:rsidRPr="00000000">
        <w:rPr>
          <w:rFonts w:ascii="Calibri" w:cs="Calibri" w:eastAsia="Calibri" w:hAnsi="Calibri"/>
          <w:color w:val="000000"/>
          <w:rtl w:val="0"/>
        </w:rPr>
        <w:t xml:space="preserve">determined by the working address of the appointee, not the university's location. The funding is provided by the </w:t>
      </w:r>
      <w:hyperlink r:id="rId10">
        <w:r w:rsidDel="00000000" w:rsidR="00000000" w:rsidRPr="00000000">
          <w:rPr>
            <w:rFonts w:ascii="Calibri" w:cs="Calibri" w:eastAsia="Calibri" w:hAnsi="Calibri"/>
            <w:color w:val="0563c1"/>
            <w:u w:val="single"/>
            <w:rtl w:val="0"/>
          </w:rPr>
          <w:t xml:space="preserve">Faraday Institution</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Additional activities:</w:t>
      </w:r>
    </w:p>
    <w:p w:rsidR="00000000" w:rsidDel="00000000" w:rsidP="00000000" w:rsidRDefault="00000000" w:rsidRPr="00000000" w14:paraId="0000001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During the FUSE internship you will be able to attend Faraday Masterclasses and cohort</w:t>
      </w:r>
    </w:p>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events which will focus on a variety of topics to further develop your understanding of career opportunities in the battery sector.  At the end of the programme, you will be invited to </w:t>
      </w:r>
    </w:p>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share a poster about your work and prizes will be awarded.</w:t>
      </w:r>
    </w:p>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tabs>
          <w:tab w:val="left" w:pos="3320"/>
        </w:tabs>
        <w:rPr>
          <w:b w:val="1"/>
          <w:color w:val="000000"/>
          <w:u w:val="none"/>
        </w:rPr>
      </w:pPr>
      <w:r w:rsidDel="00000000" w:rsidR="00000000" w:rsidRPr="00000000">
        <w:rPr>
          <w:b w:val="1"/>
          <w:color w:val="000000"/>
          <w:u w:val="none"/>
          <w:rtl w:val="0"/>
        </w:rPr>
        <w:t xml:space="preserve">Application:</w:t>
      </w:r>
    </w:p>
    <w:p w:rsidR="00000000" w:rsidDel="00000000" w:rsidP="00000000" w:rsidRDefault="00000000" w:rsidRPr="00000000" w14:paraId="0000001D">
      <w:pPr>
        <w:ind w:right="95"/>
        <w:rPr>
          <w:i w:val="1"/>
          <w:color w:val="aeaaaa"/>
        </w:rPr>
      </w:pPr>
      <w:r w:rsidDel="00000000" w:rsidR="00000000" w:rsidRPr="00000000">
        <w:rPr>
          <w:rtl w:val="0"/>
        </w:rPr>
        <w:t xml:space="preserve">In order to apply for this particular Faraday Undergraduate Summer Experience (FUSE) 2022 internship, you need to complete the attached application form by Monday, 18</w:t>
      </w:r>
      <w:r w:rsidDel="00000000" w:rsidR="00000000" w:rsidRPr="00000000">
        <w:rPr>
          <w:vertAlign w:val="superscript"/>
          <w:rtl w:val="0"/>
        </w:rPr>
        <w:t xml:space="preserve">th</w:t>
      </w:r>
      <w:r w:rsidDel="00000000" w:rsidR="00000000" w:rsidRPr="00000000">
        <w:rPr>
          <w:rtl w:val="0"/>
        </w:rPr>
        <w:t xml:space="preserve"> April </w:t>
      </w:r>
      <w:hyperlink r:id="rId11">
        <w:r w:rsidDel="00000000" w:rsidR="00000000" w:rsidRPr="00000000">
          <w:rPr>
            <w:color w:val="1155cc"/>
            <w:u w:val="single"/>
            <w:rtl w:val="0"/>
          </w:rPr>
          <w:t xml:space="preserve">Application form</w:t>
        </w:r>
      </w:hyperlink>
      <w:r w:rsidDel="00000000" w:rsidR="00000000" w:rsidRPr="00000000">
        <w:rPr>
          <w:rtl w:val="0"/>
        </w:rPr>
      </w:r>
    </w:p>
    <w:p w:rsidR="00000000" w:rsidDel="00000000" w:rsidP="00000000" w:rsidRDefault="00000000" w:rsidRPr="00000000" w14:paraId="0000001E">
      <w:pPr>
        <w:tabs>
          <w:tab w:val="left" w:pos="3320"/>
        </w:tabs>
        <w:rPr>
          <w:b w:val="1"/>
        </w:rPr>
      </w:pPr>
      <w:r w:rsidDel="00000000" w:rsidR="00000000" w:rsidRPr="00000000">
        <w:rPr>
          <w:b w:val="1"/>
          <w:rtl w:val="0"/>
        </w:rPr>
        <w:t xml:space="preserve">Diversity</w:t>
      </w:r>
    </w:p>
    <w:p w:rsidR="00000000" w:rsidDel="00000000" w:rsidP="00000000" w:rsidRDefault="00000000" w:rsidRPr="00000000" w14:paraId="0000001F">
      <w:pPr>
        <w:tabs>
          <w:tab w:val="left" w:pos="3320"/>
        </w:tabs>
        <w:rPr/>
      </w:pPr>
      <w:r w:rsidDel="00000000" w:rsidR="00000000" w:rsidRPr="00000000">
        <w:rPr>
          <w:rtl w:val="0"/>
        </w:rPr>
        <w:t xml:space="preserve">The Faraday Institution is committed to creating a dynamic and diverse pool of talent for the fields of battery technology and energy storage.</w:t>
      </w:r>
    </w:p>
    <w:p w:rsidR="00000000" w:rsidDel="00000000" w:rsidP="00000000" w:rsidRDefault="00000000" w:rsidRPr="00000000" w14:paraId="00000020">
      <w:pPr>
        <w:tabs>
          <w:tab w:val="left" w:pos="3320"/>
        </w:tabs>
        <w:rPr/>
      </w:pPr>
      <w:r w:rsidDel="00000000" w:rsidR="00000000" w:rsidRPr="00000000">
        <w:rPr>
          <w:rtl w:val="0"/>
        </w:rPr>
        <w:t xml:space="preserve">The University of Sheffield Diversity statement is available at the link below:</w:t>
      </w:r>
    </w:p>
    <w:p w:rsidR="00000000" w:rsidDel="00000000" w:rsidP="00000000" w:rsidRDefault="00000000" w:rsidRPr="00000000" w14:paraId="00000021">
      <w:pPr>
        <w:tabs>
          <w:tab w:val="left" w:pos="3320"/>
        </w:tabs>
        <w:rPr>
          <w:i w:val="1"/>
          <w:color w:val="7f7f7f"/>
        </w:rPr>
      </w:pPr>
      <w:hyperlink r:id="rId12">
        <w:r w:rsidDel="00000000" w:rsidR="00000000" w:rsidRPr="00000000">
          <w:rPr>
            <w:color w:val="0563c1"/>
            <w:u w:val="single"/>
            <w:rtl w:val="0"/>
          </w:rPr>
          <w:t xml:space="preserve">Equality, Diversity and Inclusion Policy for students | Study at Sheffield | The University of Sheffield</w:t>
        </w:r>
      </w:hyperlink>
      <w:r w:rsidDel="00000000" w:rsidR="00000000" w:rsidRPr="00000000">
        <w:rPr>
          <w:rtl w:val="0"/>
        </w:rPr>
      </w:r>
    </w:p>
    <w:sectPr>
      <w:headerReference r:id="rId13" w:type="default"/>
      <w:pgSz w:h="16838" w:w="11906" w:orient="portrait"/>
      <w:pgMar w:bottom="0"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71775" cy="831533"/>
          <wp:effectExtent b="0" l="0" r="0" t="0"/>
          <wp:docPr id="2" name="image1.png"/>
          <a:graphic>
            <a:graphicData uri="http://schemas.openxmlformats.org/drawingml/2006/picture">
              <pic:pic>
                <pic:nvPicPr>
                  <pic:cNvPr id="0" name="image1.png"/>
                  <pic:cNvPicPr preferRelativeResize="0"/>
                </pic:nvPicPr>
                <pic:blipFill>
                  <a:blip r:embed="rId1"/>
                  <a:srcRect b="40319" l="30356" r="50808" t="49635"/>
                  <a:stretch>
                    <a:fillRect/>
                  </a:stretch>
                </pic:blipFill>
                <pic:spPr>
                  <a:xfrm>
                    <a:off x="0" y="0"/>
                    <a:ext cx="2771775" cy="8315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67B34"/>
    <w:rPr>
      <w:color w:val="0563c1" w:themeColor="hyperlink"/>
      <w:u w:val="single"/>
    </w:rPr>
  </w:style>
  <w:style w:type="character" w:styleId="UnresolvedMention1" w:customStyle="1">
    <w:name w:val="Unresolved Mention1"/>
    <w:basedOn w:val="DefaultParagraphFont"/>
    <w:uiPriority w:val="99"/>
    <w:semiHidden w:val="1"/>
    <w:unhideWhenUsed w:val="1"/>
    <w:rsid w:val="00967B34"/>
    <w:rPr>
      <w:color w:val="605e5c"/>
      <w:shd w:color="auto" w:fill="e1dfdd" w:val="clear"/>
    </w:rPr>
  </w:style>
  <w:style w:type="paragraph" w:styleId="ListParagraph">
    <w:name w:val="List Paragraph"/>
    <w:basedOn w:val="Normal"/>
    <w:uiPriority w:val="34"/>
    <w:qFormat w:val="1"/>
    <w:rsid w:val="00967B34"/>
    <w:pPr>
      <w:ind w:left="720"/>
      <w:contextualSpacing w:val="1"/>
    </w:pPr>
  </w:style>
  <w:style w:type="character" w:styleId="FollowedHyperlink">
    <w:name w:val="FollowedHyperlink"/>
    <w:basedOn w:val="DefaultParagraphFont"/>
    <w:uiPriority w:val="99"/>
    <w:semiHidden w:val="1"/>
    <w:unhideWhenUsed w:val="1"/>
    <w:rsid w:val="00C67B95"/>
    <w:rPr>
      <w:color w:val="954f72" w:themeColor="followedHyperlink"/>
      <w:u w:val="single"/>
    </w:rPr>
  </w:style>
  <w:style w:type="paragraph" w:styleId="Header">
    <w:name w:val="header"/>
    <w:basedOn w:val="Normal"/>
    <w:link w:val="HeaderChar"/>
    <w:uiPriority w:val="99"/>
    <w:unhideWhenUsed w:val="1"/>
    <w:rsid w:val="00F44E5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4E5E"/>
  </w:style>
  <w:style w:type="paragraph" w:styleId="Footer">
    <w:name w:val="footer"/>
    <w:basedOn w:val="Normal"/>
    <w:link w:val="FooterChar"/>
    <w:uiPriority w:val="99"/>
    <w:unhideWhenUsed w:val="1"/>
    <w:rsid w:val="00F44E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4E5E"/>
  </w:style>
  <w:style w:type="character" w:styleId="UnresolvedMention" w:customStyle="1">
    <w:name w:val="Unresolved Mention"/>
    <w:basedOn w:val="DefaultParagraphFont"/>
    <w:uiPriority w:val="99"/>
    <w:semiHidden w:val="1"/>
    <w:unhideWhenUsed w:val="1"/>
    <w:rsid w:val="00E25C30"/>
    <w:rPr>
      <w:color w:val="605e5c"/>
      <w:shd w:color="auto" w:fill="e1dfdd" w:val="clear"/>
    </w:rPr>
  </w:style>
  <w:style w:type="paragraph" w:styleId="Default" w:customStyle="1">
    <w:name w:val="Default"/>
    <w:rsid w:val="00AB6B9F"/>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db9_eegtA-0DmKckcrrNAEQCAJy_XgwnpZPAD0cwG5HOcE-g/viewform?usp=sf_link" TargetMode="External"/><Relationship Id="rId10" Type="http://schemas.openxmlformats.org/officeDocument/2006/relationships/hyperlink" Target="https://www.faraday.ac.uk/" TargetMode="External"/><Relationship Id="rId13" Type="http://schemas.openxmlformats.org/officeDocument/2006/relationships/header" Target="header1.xml"/><Relationship Id="rId12" Type="http://schemas.openxmlformats.org/officeDocument/2006/relationships/hyperlink" Target="https://www.sheffield.ac.uk/study/policies/equality-and-diversit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xtrode.web.ox.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raday.ac.uk/fuse-internships-2022/" TargetMode="External"/><Relationship Id="rId8" Type="http://schemas.openxmlformats.org/officeDocument/2006/relationships/hyperlink" Target="https://nextrode.web.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seH1uhgIt7wOBxlSmww/T2rqA==">AMUW2mVvGfXz3Eh6TGH2aqYscCwVQTobkGqVs5Mt3lJNG5mLKI3SLULeqdBMeoPnEXn56OWy1J/ehM5aQoUMtDK1mk4ccrL71BMJfjPjUQx1DPaE9/YGd5gfLVdWEESlrkikRkJIDkZ6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2022-03-29T08:23:00Z</dcterms:created>
  <dc:creator>Fran Long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