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tabs>
          <w:tab w:val="left" w:pos="3320"/>
        </w:tabs>
        <w:rPr>
          <w:b w:val="1"/>
        </w:rPr>
      </w:pPr>
      <w:r w:rsidDel="00000000" w:rsidR="00000000" w:rsidRPr="00000000">
        <w:rPr>
          <w:b w:val="1"/>
          <w:rtl w:val="0"/>
        </w:rPr>
        <w:t xml:space="preserve">Exciting </w:t>
      </w:r>
      <w:hyperlink r:id="rId7">
        <w:r w:rsidDel="00000000" w:rsidR="00000000" w:rsidRPr="00000000">
          <w:rPr>
            <w:b w:val="1"/>
            <w:color w:val="0563c1"/>
            <w:u w:val="single"/>
            <w:rtl w:val="0"/>
          </w:rPr>
          <w:t xml:space="preserve">Faraday Undergraduate Summer Experience (FUSE)</w:t>
        </w:r>
      </w:hyperlink>
      <w:r w:rsidDel="00000000" w:rsidR="00000000" w:rsidRPr="00000000">
        <w:rPr>
          <w:b w:val="1"/>
          <w:rtl w:val="0"/>
        </w:rPr>
        <w:t xml:space="preserve"> paid internship opportunities for summer 2022.</w:t>
      </w:r>
    </w:p>
    <w:p w:rsidR="00000000" w:rsidDel="00000000" w:rsidP="00000000" w:rsidRDefault="00000000" w:rsidRPr="00000000" w14:paraId="00000003">
      <w:pPr>
        <w:tabs>
          <w:tab w:val="left" w:pos="3320"/>
        </w:tabs>
        <w:rPr/>
      </w:pPr>
      <w:r w:rsidDel="00000000" w:rsidR="00000000" w:rsidRPr="00000000">
        <w:rPr>
          <w:rtl w:val="0"/>
        </w:rPr>
        <w:t xml:space="preserve">Studying a STEM degree?  Wondering what career to pursue?  Interested in finding out more about the battery sector?  Keen to spend time with a dynamic community of pioneering battery researchers seeking to find solutions to support a fully electric future?</w:t>
      </w:r>
    </w:p>
    <w:p w:rsidR="00000000" w:rsidDel="00000000" w:rsidP="00000000" w:rsidRDefault="00000000" w:rsidRPr="00000000" w14:paraId="00000004">
      <w:pPr>
        <w:tabs>
          <w:tab w:val="left" w:pos="3320"/>
        </w:tabs>
        <w:rPr/>
      </w:pPr>
      <w:r w:rsidDel="00000000" w:rsidR="00000000" w:rsidRPr="00000000">
        <w:rPr>
          <w:rtl w:val="0"/>
        </w:rPr>
        <w:t xml:space="preserve">The Faraday Institution is offering a total of 56 internships, for undergraduate students to spend 8 weeks working on battery related projects.  </w:t>
      </w:r>
    </w:p>
    <w:p w:rsidR="00000000" w:rsidDel="00000000" w:rsidP="00000000" w:rsidRDefault="00000000" w:rsidRPr="00000000" w14:paraId="00000005">
      <w:pPr>
        <w:tabs>
          <w:tab w:val="left" w:pos="3320"/>
        </w:tabs>
        <w:rPr/>
      </w:pPr>
      <w:r w:rsidDel="00000000" w:rsidR="00000000" w:rsidRPr="00000000">
        <w:rPr>
          <w:b w:val="1"/>
          <w:rtl w:val="0"/>
        </w:rPr>
        <w:t xml:space="preserve">Project title: </w:t>
      </w:r>
      <w:hyperlink r:id="rId8">
        <w:r w:rsidDel="00000000" w:rsidR="00000000" w:rsidRPr="00000000">
          <w:rPr>
            <w:color w:val="0563c1"/>
            <w:u w:val="single"/>
            <w:rtl w:val="0"/>
          </w:rPr>
          <w:t xml:space="preserve">Nextrode</w:t>
        </w:r>
      </w:hyperlink>
      <w:r w:rsidDel="00000000" w:rsidR="00000000" w:rsidRPr="00000000">
        <w:rPr>
          <w:rtl w:val="0"/>
        </w:rPr>
        <w:t xml:space="preserve"> - Technological distance mapping and analysis</w:t>
      </w:r>
    </w:p>
    <w:p w:rsidR="00000000" w:rsidDel="00000000" w:rsidP="00000000" w:rsidRDefault="00000000" w:rsidRPr="00000000" w14:paraId="00000006">
      <w:pPr>
        <w:tabs>
          <w:tab w:val="left" w:pos="3320"/>
        </w:tabs>
        <w:rPr>
          <w:color w:val="000000"/>
          <w:highlight w:val="white"/>
        </w:rPr>
      </w:pPr>
      <w:r w:rsidDel="00000000" w:rsidR="00000000" w:rsidRPr="00000000">
        <w:rPr>
          <w:b w:val="1"/>
          <w:rtl w:val="0"/>
        </w:rPr>
        <w:t xml:space="preserve">Project description:</w:t>
      </w:r>
      <w:r w:rsidDel="00000000" w:rsidR="00000000" w:rsidRPr="00000000">
        <w:rPr>
          <w:rtl w:val="0"/>
        </w:rPr>
        <w:t xml:space="preserve"> </w:t>
      </w:r>
      <w:r w:rsidDel="00000000" w:rsidR="00000000" w:rsidRPr="00000000">
        <w:rPr>
          <w:color w:val="000000"/>
          <w:highlight w:val="white"/>
          <w:rtl w:val="0"/>
        </w:rPr>
        <w:t xml:space="preserve">In a previous project, funded through the FUSE programme, two Sheffield undergraduate students (one from Engineering and one from Law) developed a workflow for academics so they could more efficiently navigate the patent landscape. They also wrote a case study using their system to examine the companies who were developing novel dry electrode fabrication technology.</w:t>
      </w:r>
    </w:p>
    <w:p w:rsidR="00000000" w:rsidDel="00000000" w:rsidP="00000000" w:rsidRDefault="00000000" w:rsidRPr="00000000" w14:paraId="00000007">
      <w:pPr>
        <w:tabs>
          <w:tab w:val="left" w:pos="3320"/>
        </w:tabs>
        <w:rPr>
          <w:color w:val="000000"/>
          <w:highlight w:val="white"/>
        </w:rPr>
      </w:pPr>
      <w:r w:rsidDel="00000000" w:rsidR="00000000" w:rsidRPr="00000000">
        <w:rPr>
          <w:color w:val="000000"/>
          <w:highlight w:val="white"/>
          <w:rtl w:val="0"/>
        </w:rPr>
        <w:t xml:space="preserve">In this project we want to expand on the previous work to apply the research on ‘Technological Distance’ to both the dry patent space and to examine the ‘academic distance’ between Nextrode partners. This approach aims to quantify and map distances between technology type, </w:t>
      </w:r>
      <w:r w:rsidDel="00000000" w:rsidR="00000000" w:rsidRPr="00000000">
        <w:rPr>
          <w:highlight w:val="white"/>
          <w:rtl w:val="0"/>
        </w:rPr>
        <w:t xml:space="preserve">organisations</w:t>
      </w:r>
      <w:r w:rsidDel="00000000" w:rsidR="00000000" w:rsidRPr="00000000">
        <w:rPr>
          <w:color w:val="000000"/>
          <w:highlight w:val="white"/>
          <w:rtl w:val="0"/>
        </w:rPr>
        <w:t xml:space="preserve"> or academic groups by analysing </w:t>
      </w:r>
      <w:r w:rsidDel="00000000" w:rsidR="00000000" w:rsidRPr="00000000">
        <w:rPr>
          <w:highlight w:val="white"/>
          <w:rtl w:val="0"/>
        </w:rPr>
        <w:t xml:space="preserve">published</w:t>
      </w:r>
      <w:r w:rsidDel="00000000" w:rsidR="00000000" w:rsidRPr="00000000">
        <w:rPr>
          <w:color w:val="000000"/>
          <w:highlight w:val="white"/>
          <w:rtl w:val="0"/>
        </w:rPr>
        <w:t xml:space="preserve"> information about the entities. </w:t>
        <w:br w:type="textWrapping"/>
        <w:t xml:space="preserve">By quantifying and </w:t>
      </w:r>
      <w:r w:rsidDel="00000000" w:rsidR="00000000" w:rsidRPr="00000000">
        <w:rPr>
          <w:highlight w:val="white"/>
          <w:rtl w:val="0"/>
        </w:rPr>
        <w:t xml:space="preserve">mapping these</w:t>
      </w:r>
      <w:r w:rsidDel="00000000" w:rsidR="00000000" w:rsidRPr="00000000">
        <w:rPr>
          <w:color w:val="000000"/>
          <w:highlight w:val="white"/>
          <w:rtl w:val="0"/>
        </w:rPr>
        <w:t xml:space="preserve"> distances we will be able to determine technological maturity in the case of commercial parties and identify potential for collaborative research in academic circles.</w:t>
      </w:r>
    </w:p>
    <w:p w:rsidR="00000000" w:rsidDel="00000000" w:rsidP="00000000" w:rsidRDefault="00000000" w:rsidRPr="00000000" w14:paraId="00000008">
      <w:pPr>
        <w:tabs>
          <w:tab w:val="left" w:pos="3320"/>
        </w:tabs>
        <w:rPr>
          <w:color w:val="767171"/>
        </w:rPr>
      </w:pPr>
      <w:r w:rsidDel="00000000" w:rsidR="00000000" w:rsidRPr="00000000">
        <w:rPr>
          <w:b w:val="1"/>
          <w:rtl w:val="0"/>
        </w:rPr>
        <w:t xml:space="preserve">Supervisor: </w:t>
      </w:r>
      <w:r w:rsidDel="00000000" w:rsidR="00000000" w:rsidRPr="00000000">
        <w:rPr>
          <w:rtl w:val="0"/>
        </w:rPr>
        <w:t xml:space="preserve">Dr Denis Cumming</w:t>
      </w:r>
      <w:r w:rsidDel="00000000" w:rsidR="00000000" w:rsidRPr="00000000">
        <w:rPr>
          <w:rtl w:val="0"/>
        </w:rPr>
      </w:r>
    </w:p>
    <w:p w:rsidR="00000000" w:rsidDel="00000000" w:rsidP="00000000" w:rsidRDefault="00000000" w:rsidRPr="00000000" w14:paraId="00000009">
      <w:pPr>
        <w:tabs>
          <w:tab w:val="left" w:pos="3320"/>
        </w:tabs>
        <w:rPr>
          <w:b w:val="1"/>
        </w:rPr>
      </w:pPr>
      <w:r w:rsidDel="00000000" w:rsidR="00000000" w:rsidRPr="00000000">
        <w:rPr>
          <w:b w:val="1"/>
          <w:rtl w:val="0"/>
        </w:rPr>
        <w:t xml:space="preserve">University: </w:t>
      </w:r>
      <w:r w:rsidDel="00000000" w:rsidR="00000000" w:rsidRPr="00000000">
        <w:rPr>
          <w:color w:val="000000"/>
          <w:rtl w:val="0"/>
        </w:rPr>
        <w:t xml:space="preserve">University of Sheffield</w:t>
      </w:r>
      <w:r w:rsidDel="00000000" w:rsidR="00000000" w:rsidRPr="00000000">
        <w:rPr>
          <w:rtl w:val="0"/>
        </w:rPr>
      </w:r>
    </w:p>
    <w:p w:rsidR="00000000" w:rsidDel="00000000" w:rsidP="00000000" w:rsidRDefault="00000000" w:rsidRPr="00000000" w14:paraId="0000000A">
      <w:pPr>
        <w:tabs>
          <w:tab w:val="left" w:pos="3320"/>
        </w:tabs>
        <w:rPr>
          <w:i w:val="1"/>
          <w:color w:val="767171"/>
        </w:rPr>
      </w:pPr>
      <w:r w:rsidDel="00000000" w:rsidR="00000000" w:rsidRPr="00000000">
        <w:rPr>
          <w:b w:val="1"/>
          <w:rtl w:val="0"/>
        </w:rPr>
        <w:t xml:space="preserve">Location: </w:t>
      </w:r>
      <w:r w:rsidDel="00000000" w:rsidR="00000000" w:rsidRPr="00000000">
        <w:rPr>
          <w:color w:val="000000"/>
          <w:rtl w:val="0"/>
        </w:rPr>
        <w:t xml:space="preserve">Remote or hybrid</w:t>
      </w:r>
      <w:r w:rsidDel="00000000" w:rsidR="00000000" w:rsidRPr="00000000">
        <w:rPr>
          <w:rtl w:val="0"/>
        </w:rPr>
      </w:r>
    </w:p>
    <w:p w:rsidR="00000000" w:rsidDel="00000000" w:rsidP="00000000" w:rsidRDefault="00000000" w:rsidRPr="00000000" w14:paraId="0000000B">
      <w:pPr>
        <w:tabs>
          <w:tab w:val="left" w:pos="3320"/>
        </w:tabs>
        <w:rPr>
          <w:b w:val="1"/>
          <w:color w:val="ff0000"/>
        </w:rPr>
      </w:pPr>
      <w:r w:rsidDel="00000000" w:rsidR="00000000" w:rsidRPr="00000000">
        <w:rPr>
          <w:b w:val="1"/>
          <w:rtl w:val="0"/>
        </w:rPr>
        <w:t xml:space="preserve">Start date: </w:t>
      </w:r>
      <w:r w:rsidDel="00000000" w:rsidR="00000000" w:rsidRPr="00000000">
        <w:rPr>
          <w:rFonts w:ascii="Calibri" w:cs="Calibri" w:eastAsia="Calibri" w:hAnsi="Calibri"/>
          <w:color w:val="000000"/>
          <w:rtl w:val="0"/>
        </w:rPr>
        <w:t xml:space="preserve">The internship is a full-time role for 8 weeks from 27</w:t>
      </w:r>
      <w:r w:rsidDel="00000000" w:rsidR="00000000" w:rsidRPr="00000000">
        <w:rPr>
          <w:rFonts w:ascii="Calibri" w:cs="Calibri" w:eastAsia="Calibri" w:hAnsi="Calibri"/>
          <w:color w:val="000000"/>
          <w:vertAlign w:val="superscript"/>
          <w:rtl w:val="0"/>
        </w:rPr>
        <w:t xml:space="preserve">th</w:t>
      </w:r>
      <w:r w:rsidDel="00000000" w:rsidR="00000000" w:rsidRPr="00000000">
        <w:rPr>
          <w:rFonts w:ascii="Calibri" w:cs="Calibri" w:eastAsia="Calibri" w:hAnsi="Calibri"/>
          <w:color w:val="000000"/>
          <w:rtl w:val="0"/>
        </w:rPr>
        <w:t xml:space="preserve"> June to 19</w:t>
      </w:r>
      <w:r w:rsidDel="00000000" w:rsidR="00000000" w:rsidRPr="00000000">
        <w:rPr>
          <w:rFonts w:ascii="Calibri" w:cs="Calibri" w:eastAsia="Calibri" w:hAnsi="Calibri"/>
          <w:color w:val="000000"/>
          <w:vertAlign w:val="superscript"/>
          <w:rtl w:val="0"/>
        </w:rPr>
        <w:t xml:space="preserve">th</w:t>
      </w:r>
      <w:r w:rsidDel="00000000" w:rsidR="00000000" w:rsidRPr="00000000">
        <w:rPr>
          <w:rFonts w:ascii="Calibri" w:cs="Calibri" w:eastAsia="Calibri" w:hAnsi="Calibri"/>
          <w:color w:val="000000"/>
          <w:rtl w:val="0"/>
        </w:rPr>
        <w:t xml:space="preserve"> August 2022.</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Eligibility:</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3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 registered full-time undergraduate student from a UK university.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3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Undertake the internship within the years of their undergraduate study (i.e., not in final year or during a subsequent Masters’ programme).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 have been a FUSE intern in a previous year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Funding:</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 salary of £9.90 / hour across the UK or £11.05 / hour in London will be provided. This will be</w:t>
      </w:r>
    </w:p>
    <w:p w:rsidR="00000000" w:rsidDel="00000000" w:rsidP="00000000" w:rsidRDefault="00000000" w:rsidRPr="00000000" w14:paraId="00000015">
      <w:pPr>
        <w:spacing w:after="0" w:line="240" w:lineRule="auto"/>
        <w:rPr>
          <w:i w:val="1"/>
          <w:color w:val="767171"/>
        </w:rPr>
      </w:pPr>
      <w:r w:rsidDel="00000000" w:rsidR="00000000" w:rsidRPr="00000000">
        <w:rPr>
          <w:rFonts w:ascii="Calibri" w:cs="Calibri" w:eastAsia="Calibri" w:hAnsi="Calibri"/>
          <w:color w:val="000000"/>
          <w:rtl w:val="0"/>
        </w:rPr>
        <w:t xml:space="preserve">determined by the working address of the appointee, not the university's location. The funding is provided by the </w:t>
      </w:r>
      <w:hyperlink r:id="rId9">
        <w:r w:rsidDel="00000000" w:rsidR="00000000" w:rsidRPr="00000000">
          <w:rPr>
            <w:rFonts w:ascii="Calibri" w:cs="Calibri" w:eastAsia="Calibri" w:hAnsi="Calibri"/>
            <w:color w:val="0563c1"/>
            <w:u w:val="single"/>
            <w:rtl w:val="0"/>
          </w:rPr>
          <w:t xml:space="preserve">Faraday Institution</w:t>
        </w:r>
      </w:hyperlink>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16">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7">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Additional activities:</w:t>
      </w:r>
    </w:p>
    <w:p w:rsidR="00000000" w:rsidDel="00000000" w:rsidP="00000000" w:rsidRDefault="00000000" w:rsidRPr="00000000" w14:paraId="00000018">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During the FUSE internship you will be able to attend Faraday Masterclasses and cohort</w:t>
      </w:r>
    </w:p>
    <w:p w:rsidR="00000000" w:rsidDel="00000000" w:rsidP="00000000" w:rsidRDefault="00000000" w:rsidRPr="00000000" w14:paraId="0000001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events which will focus on a variety of topics to further develop your understanding of career opportunities in battery sector.  At the end of the programme, you will be invited to </w:t>
      </w:r>
    </w:p>
    <w:p w:rsidR="00000000" w:rsidDel="00000000" w:rsidP="00000000" w:rsidRDefault="00000000" w:rsidRPr="00000000" w14:paraId="0000001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to share a poster about your work and prizes will be awarded.</w:t>
      </w:r>
    </w:p>
    <w:p w:rsidR="00000000" w:rsidDel="00000000" w:rsidP="00000000" w:rsidRDefault="00000000" w:rsidRPr="00000000" w14:paraId="0000001C">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D">
      <w:pPr>
        <w:tabs>
          <w:tab w:val="left" w:pos="3320"/>
        </w:tabs>
        <w:rPr>
          <w:b w:val="1"/>
          <w:color w:val="000000"/>
          <w:u w:val="none"/>
        </w:rPr>
      </w:pPr>
      <w:r w:rsidDel="00000000" w:rsidR="00000000" w:rsidRPr="00000000">
        <w:rPr>
          <w:b w:val="1"/>
          <w:color w:val="000000"/>
          <w:u w:val="none"/>
          <w:rtl w:val="0"/>
        </w:rPr>
        <w:t xml:space="preserve">Application:</w:t>
      </w:r>
    </w:p>
    <w:p w:rsidR="00000000" w:rsidDel="00000000" w:rsidP="00000000" w:rsidRDefault="00000000" w:rsidRPr="00000000" w14:paraId="0000001E">
      <w:pPr>
        <w:ind w:right="95"/>
        <w:rPr>
          <w:i w:val="1"/>
          <w:color w:val="aeaaaa"/>
        </w:rPr>
      </w:pPr>
      <w:r w:rsidDel="00000000" w:rsidR="00000000" w:rsidRPr="00000000">
        <w:rPr>
          <w:rtl w:val="0"/>
        </w:rPr>
        <w:t xml:space="preserve">In order to apply for this particular Faraday Undergraduate Summer Experience (FUSE) 2022 internship, you need to complete the attached application form by Monday, 18</w:t>
      </w:r>
      <w:r w:rsidDel="00000000" w:rsidR="00000000" w:rsidRPr="00000000">
        <w:rPr>
          <w:vertAlign w:val="superscript"/>
          <w:rtl w:val="0"/>
        </w:rPr>
        <w:t xml:space="preserve">th</w:t>
      </w:r>
      <w:r w:rsidDel="00000000" w:rsidR="00000000" w:rsidRPr="00000000">
        <w:rPr>
          <w:rtl w:val="0"/>
        </w:rPr>
        <w:t xml:space="preserve"> April </w:t>
      </w:r>
      <w:r w:rsidDel="00000000" w:rsidR="00000000" w:rsidRPr="00000000">
        <w:rPr>
          <w:rtl w:val="0"/>
        </w:rPr>
      </w:r>
    </w:p>
    <w:p w:rsidR="00000000" w:rsidDel="00000000" w:rsidP="00000000" w:rsidRDefault="00000000" w:rsidRPr="00000000" w14:paraId="0000001F">
      <w:pPr>
        <w:ind w:right="95"/>
        <w:rPr>
          <w:color w:val="000000"/>
        </w:rPr>
      </w:pPr>
      <w:hyperlink r:id="rId10">
        <w:r w:rsidDel="00000000" w:rsidR="00000000" w:rsidRPr="00000000">
          <w:rPr>
            <w:color w:val="1155cc"/>
            <w:u w:val="single"/>
            <w:rtl w:val="0"/>
          </w:rPr>
          <w:t xml:space="preserve">Application Form</w:t>
        </w:r>
      </w:hyperlink>
      <w:r w:rsidDel="00000000" w:rsidR="00000000" w:rsidRPr="00000000">
        <w:rPr>
          <w:rtl w:val="0"/>
        </w:rPr>
      </w:r>
    </w:p>
    <w:p w:rsidR="00000000" w:rsidDel="00000000" w:rsidP="00000000" w:rsidRDefault="00000000" w:rsidRPr="00000000" w14:paraId="00000020">
      <w:pPr>
        <w:tabs>
          <w:tab w:val="left" w:pos="3320"/>
        </w:tabs>
        <w:rPr>
          <w:b w:val="1"/>
        </w:rPr>
      </w:pPr>
      <w:r w:rsidDel="00000000" w:rsidR="00000000" w:rsidRPr="00000000">
        <w:rPr>
          <w:b w:val="1"/>
          <w:rtl w:val="0"/>
        </w:rPr>
        <w:t xml:space="preserve">Diversity</w:t>
      </w:r>
    </w:p>
    <w:p w:rsidR="00000000" w:rsidDel="00000000" w:rsidP="00000000" w:rsidRDefault="00000000" w:rsidRPr="00000000" w14:paraId="00000021">
      <w:pPr>
        <w:tabs>
          <w:tab w:val="left" w:pos="3320"/>
        </w:tabs>
        <w:rPr/>
      </w:pPr>
      <w:r w:rsidDel="00000000" w:rsidR="00000000" w:rsidRPr="00000000">
        <w:rPr>
          <w:rtl w:val="0"/>
        </w:rPr>
        <w:t xml:space="preserve">The Faraday Institution is committed to creating a dynamic and diverse pool of talent for the fields of battery technology and energy storage.</w:t>
      </w:r>
    </w:p>
    <w:p w:rsidR="00000000" w:rsidDel="00000000" w:rsidP="00000000" w:rsidRDefault="00000000" w:rsidRPr="00000000" w14:paraId="00000022">
      <w:pPr>
        <w:tabs>
          <w:tab w:val="left" w:pos="3320"/>
        </w:tabs>
        <w:rPr/>
      </w:pPr>
      <w:r w:rsidDel="00000000" w:rsidR="00000000" w:rsidRPr="00000000">
        <w:rPr>
          <w:rtl w:val="0"/>
        </w:rPr>
        <w:t xml:space="preserve">The University of Sheffield Diversity statement is available at the link below:</w:t>
      </w:r>
    </w:p>
    <w:p w:rsidR="00000000" w:rsidDel="00000000" w:rsidP="00000000" w:rsidRDefault="00000000" w:rsidRPr="00000000" w14:paraId="00000023">
      <w:pPr>
        <w:tabs>
          <w:tab w:val="left" w:pos="3320"/>
        </w:tabs>
        <w:rPr>
          <w:i w:val="1"/>
          <w:color w:val="7f7f7f"/>
        </w:rPr>
      </w:pPr>
      <w:bookmarkStart w:colFirst="0" w:colLast="0" w:name="_heading=h.gjdgxs" w:id="0"/>
      <w:bookmarkEnd w:id="0"/>
      <w:hyperlink r:id="rId11">
        <w:r w:rsidDel="00000000" w:rsidR="00000000" w:rsidRPr="00000000">
          <w:rPr>
            <w:color w:val="0563c1"/>
            <w:u w:val="single"/>
            <w:rtl w:val="0"/>
          </w:rPr>
          <w:t xml:space="preserve">Equality, Diversity and Inclusion Policy for students | Study at Sheffield | The University of Sheffield</w:t>
        </w:r>
      </w:hyperlink>
      <w:r w:rsidDel="00000000" w:rsidR="00000000" w:rsidRPr="00000000">
        <w:rPr>
          <w:rtl w:val="0"/>
        </w:rPr>
      </w:r>
    </w:p>
    <w:sectPr>
      <w:headerReference r:id="rId12" w:type="default"/>
      <w:pgSz w:h="16838" w:w="11906" w:orient="portrait"/>
      <w:pgMar w:bottom="0" w:top="993"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376488" cy="712946"/>
          <wp:effectExtent b="0" l="0" r="0" t="0"/>
          <wp:docPr id="2" name="image1.png"/>
          <a:graphic>
            <a:graphicData uri="http://schemas.openxmlformats.org/drawingml/2006/picture">
              <pic:pic>
                <pic:nvPicPr>
                  <pic:cNvPr id="0" name="image1.png"/>
                  <pic:cNvPicPr preferRelativeResize="0"/>
                </pic:nvPicPr>
                <pic:blipFill>
                  <a:blip r:embed="rId1"/>
                  <a:srcRect b="40319" l="30356" r="50808" t="49635"/>
                  <a:stretch>
                    <a:fillRect/>
                  </a:stretch>
                </pic:blipFill>
                <pic:spPr>
                  <a:xfrm>
                    <a:off x="0" y="0"/>
                    <a:ext cx="2376488" cy="71294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967B34"/>
    <w:rPr>
      <w:color w:val="0563c1" w:themeColor="hyperlink"/>
      <w:u w:val="single"/>
    </w:rPr>
  </w:style>
  <w:style w:type="character" w:styleId="UnresolvedMention1" w:customStyle="1">
    <w:name w:val="Unresolved Mention1"/>
    <w:basedOn w:val="DefaultParagraphFont"/>
    <w:uiPriority w:val="99"/>
    <w:semiHidden w:val="1"/>
    <w:unhideWhenUsed w:val="1"/>
    <w:rsid w:val="00967B34"/>
    <w:rPr>
      <w:color w:val="605e5c"/>
      <w:shd w:color="auto" w:fill="e1dfdd" w:val="clear"/>
    </w:rPr>
  </w:style>
  <w:style w:type="paragraph" w:styleId="ListParagraph">
    <w:name w:val="List Paragraph"/>
    <w:basedOn w:val="Normal"/>
    <w:uiPriority w:val="34"/>
    <w:qFormat w:val="1"/>
    <w:rsid w:val="00967B34"/>
    <w:pPr>
      <w:ind w:left="720"/>
      <w:contextualSpacing w:val="1"/>
    </w:pPr>
  </w:style>
  <w:style w:type="character" w:styleId="FollowedHyperlink">
    <w:name w:val="FollowedHyperlink"/>
    <w:basedOn w:val="DefaultParagraphFont"/>
    <w:uiPriority w:val="99"/>
    <w:semiHidden w:val="1"/>
    <w:unhideWhenUsed w:val="1"/>
    <w:rsid w:val="00C67B95"/>
    <w:rPr>
      <w:color w:val="954f72" w:themeColor="followedHyperlink"/>
      <w:u w:val="single"/>
    </w:rPr>
  </w:style>
  <w:style w:type="paragraph" w:styleId="Header">
    <w:name w:val="header"/>
    <w:basedOn w:val="Normal"/>
    <w:link w:val="HeaderChar"/>
    <w:uiPriority w:val="99"/>
    <w:unhideWhenUsed w:val="1"/>
    <w:rsid w:val="00F44E5E"/>
    <w:pPr>
      <w:tabs>
        <w:tab w:val="center" w:pos="4513"/>
        <w:tab w:val="right" w:pos="9026"/>
      </w:tabs>
      <w:spacing w:after="0" w:line="240" w:lineRule="auto"/>
    </w:pPr>
  </w:style>
  <w:style w:type="character" w:styleId="HeaderChar" w:customStyle="1">
    <w:name w:val="Header Char"/>
    <w:basedOn w:val="DefaultParagraphFont"/>
    <w:link w:val="Header"/>
    <w:uiPriority w:val="99"/>
    <w:rsid w:val="00F44E5E"/>
  </w:style>
  <w:style w:type="paragraph" w:styleId="Footer">
    <w:name w:val="footer"/>
    <w:basedOn w:val="Normal"/>
    <w:link w:val="FooterChar"/>
    <w:uiPriority w:val="99"/>
    <w:unhideWhenUsed w:val="1"/>
    <w:rsid w:val="00F44E5E"/>
    <w:pPr>
      <w:tabs>
        <w:tab w:val="center" w:pos="4513"/>
        <w:tab w:val="right" w:pos="9026"/>
      </w:tabs>
      <w:spacing w:after="0" w:line="240" w:lineRule="auto"/>
    </w:pPr>
  </w:style>
  <w:style w:type="character" w:styleId="FooterChar" w:customStyle="1">
    <w:name w:val="Footer Char"/>
    <w:basedOn w:val="DefaultParagraphFont"/>
    <w:link w:val="Footer"/>
    <w:uiPriority w:val="99"/>
    <w:rsid w:val="00F44E5E"/>
  </w:style>
  <w:style w:type="character" w:styleId="UnresolvedMention" w:customStyle="1">
    <w:name w:val="Unresolved Mention"/>
    <w:basedOn w:val="DefaultParagraphFont"/>
    <w:uiPriority w:val="99"/>
    <w:semiHidden w:val="1"/>
    <w:unhideWhenUsed w:val="1"/>
    <w:rsid w:val="00E25C30"/>
    <w:rPr>
      <w:color w:val="605e5c"/>
      <w:shd w:color="auto" w:fill="e1dfdd" w:val="clear"/>
    </w:rPr>
  </w:style>
  <w:style w:type="paragraph" w:styleId="Default" w:customStyle="1">
    <w:name w:val="Default"/>
    <w:rsid w:val="00AB6B9F"/>
    <w:pPr>
      <w:autoSpaceDE w:val="0"/>
      <w:autoSpaceDN w:val="0"/>
      <w:adjustRightInd w:val="0"/>
      <w:spacing w:after="0" w:line="240" w:lineRule="auto"/>
    </w:pPr>
    <w:rPr>
      <w:rFonts w:ascii="Calibri" w:cs="Calibri" w:hAnsi="Calibri"/>
      <w:color w:val="000000"/>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sheffield.ac.uk/study/policies/equality-and-diversity-policy" TargetMode="External"/><Relationship Id="rId10" Type="http://schemas.openxmlformats.org/officeDocument/2006/relationships/hyperlink" Target="https://forms.gle/YpoVtcN8afo4M9hJ6" TargetMode="External"/><Relationship Id="rId12" Type="http://schemas.openxmlformats.org/officeDocument/2006/relationships/header" Target="header1.xml"/><Relationship Id="rId9" Type="http://schemas.openxmlformats.org/officeDocument/2006/relationships/hyperlink" Target="https://www.faraday.ac.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faraday.ac.uk/fuse-internships-2022/" TargetMode="External"/><Relationship Id="rId8" Type="http://schemas.openxmlformats.org/officeDocument/2006/relationships/hyperlink" Target="https://nextrode.web.ox.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DpjjoQI3cQi3BNDbdYXQCpmLTg==">AMUW2mWfrRJpnTI8TBez2D2mJFLd9TrKFLowvVXWiK8iGTujY6gvm9Noxys4skShP88Ynf/azJqnpIa6gRzdaYges2QIY+K7+AnK/aXdPGqPh2ZaxeiTxmroVwaF2RlVCMssd78J+FV+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2022-03-28T14:56:00Z</dcterms:created>
  <dc:creator>Fran Long</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0x010100D544D2210C47DE4FB62F31729D5CAB43</vt:lpwstr>
  </property>
</Properties>
</file>