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80642" w14:textId="60147493" w:rsidR="00794663" w:rsidRDefault="00366CA9" w:rsidP="00C67B95"/>
    <w:p w14:paraId="529CC9BD" w14:textId="7CA91F5B" w:rsidR="00967B34" w:rsidRPr="00967B34" w:rsidRDefault="00967B34" w:rsidP="00C67B95">
      <w:pPr>
        <w:tabs>
          <w:tab w:val="left" w:pos="3320"/>
        </w:tabs>
        <w:rPr>
          <w:b/>
          <w:bCs/>
        </w:rPr>
      </w:pPr>
      <w:r w:rsidRPr="00967B34">
        <w:rPr>
          <w:b/>
          <w:bCs/>
        </w:rPr>
        <w:t xml:space="preserve">Exciting </w:t>
      </w:r>
      <w:hyperlink r:id="rId11" w:history="1">
        <w:r w:rsidR="00DC0CDB" w:rsidRPr="000452FF">
          <w:rPr>
            <w:rStyle w:val="Hyperlink"/>
            <w:b/>
            <w:bCs/>
          </w:rPr>
          <w:t>Faraday Undergraduate Summer Experience (FUSE)</w:t>
        </w:r>
      </w:hyperlink>
      <w:r w:rsidRPr="00967B34">
        <w:rPr>
          <w:b/>
          <w:bCs/>
        </w:rPr>
        <w:t xml:space="preserve"> </w:t>
      </w:r>
      <w:r w:rsidR="00340C06">
        <w:rPr>
          <w:b/>
          <w:bCs/>
        </w:rPr>
        <w:t xml:space="preserve">paid </w:t>
      </w:r>
      <w:r w:rsidR="00DC0CDB">
        <w:rPr>
          <w:b/>
          <w:bCs/>
        </w:rPr>
        <w:t xml:space="preserve">internship </w:t>
      </w:r>
      <w:r w:rsidRPr="00967B34">
        <w:rPr>
          <w:b/>
          <w:bCs/>
        </w:rPr>
        <w:t>opportunit</w:t>
      </w:r>
      <w:r w:rsidR="00C210D3">
        <w:rPr>
          <w:b/>
          <w:bCs/>
        </w:rPr>
        <w:t>ies for summer 202</w:t>
      </w:r>
      <w:r w:rsidR="00CB75A9">
        <w:rPr>
          <w:b/>
          <w:bCs/>
        </w:rPr>
        <w:t>3</w:t>
      </w:r>
      <w:r w:rsidRPr="00967B34">
        <w:rPr>
          <w:b/>
          <w:bCs/>
        </w:rPr>
        <w:t>.</w:t>
      </w:r>
    </w:p>
    <w:p w14:paraId="0482981F" w14:textId="0A3620C9" w:rsidR="00967B34" w:rsidRDefault="000452FF" w:rsidP="00C67B95">
      <w:pPr>
        <w:tabs>
          <w:tab w:val="left" w:pos="3320"/>
        </w:tabs>
      </w:pPr>
      <w:r>
        <w:t xml:space="preserve">Studying a STEM degree?  Wondering what career to pursue?  Interested in finding out more about the battery sector?  </w:t>
      </w:r>
      <w:r w:rsidR="00967B34">
        <w:t xml:space="preserve">Keen to </w:t>
      </w:r>
      <w:r w:rsidR="00CA7145">
        <w:t>spend time with</w:t>
      </w:r>
      <w:r w:rsidR="00967B34">
        <w:t xml:space="preserve"> a dynamic community of pioneering battery researchers seeking to find solutions to support a fully electric future?</w:t>
      </w:r>
    </w:p>
    <w:p w14:paraId="378FDB57" w14:textId="388F31AD" w:rsidR="00CA7145" w:rsidRDefault="00BC7272" w:rsidP="00C67B95">
      <w:pPr>
        <w:tabs>
          <w:tab w:val="left" w:pos="3320"/>
        </w:tabs>
      </w:pPr>
      <w:r>
        <w:t>The Faraday Institution</w:t>
      </w:r>
      <w:r w:rsidR="00C6081F">
        <w:t xml:space="preserve"> is offering </w:t>
      </w:r>
      <w:r w:rsidR="00C0418B">
        <w:t xml:space="preserve">a </w:t>
      </w:r>
      <w:r w:rsidR="00CE0716">
        <w:t>numbe</w:t>
      </w:r>
      <w:r w:rsidR="00CB75A9">
        <w:t>r of</w:t>
      </w:r>
      <w:r w:rsidR="00C6081F">
        <w:t xml:space="preserve"> internship</w:t>
      </w:r>
      <w:r w:rsidR="0054050D">
        <w:t>s, f</w:t>
      </w:r>
      <w:r w:rsidR="00C6081F">
        <w:t>or undergraduate students to spend 8</w:t>
      </w:r>
      <w:r w:rsidR="00944BBD">
        <w:t xml:space="preserve"> </w:t>
      </w:r>
      <w:r w:rsidR="00C6081F">
        <w:t xml:space="preserve">weeks </w:t>
      </w:r>
      <w:r w:rsidR="00C210D3">
        <w:t>working on battery related projects</w:t>
      </w:r>
      <w:r w:rsidR="0054050D">
        <w:t xml:space="preserve">.  </w:t>
      </w:r>
    </w:p>
    <w:p w14:paraId="539A78FD" w14:textId="13F0B994" w:rsidR="00CE0716" w:rsidRDefault="00CE0716" w:rsidP="00C67B95">
      <w:pPr>
        <w:tabs>
          <w:tab w:val="left" w:pos="3320"/>
        </w:tabs>
      </w:pPr>
      <w:r>
        <w:t xml:space="preserve">Three projects are available </w:t>
      </w:r>
      <w:r w:rsidR="00020104">
        <w:t>in Professor Mauro Pasta’s group at</w:t>
      </w:r>
      <w:r>
        <w:t xml:space="preserve"> Oxford:</w:t>
      </w:r>
    </w:p>
    <w:p w14:paraId="35CE388C" w14:textId="4336F4AC" w:rsidR="00CE0716" w:rsidRDefault="00CE0716" w:rsidP="00CE0716">
      <w:pPr>
        <w:tabs>
          <w:tab w:val="left" w:pos="3320"/>
        </w:tabs>
        <w:rPr>
          <w:b/>
          <w:bCs/>
        </w:rPr>
      </w:pPr>
      <w:r w:rsidRPr="00CE0716">
        <w:rPr>
          <w:b/>
          <w:bCs/>
        </w:rPr>
        <w:t>1</w:t>
      </w:r>
      <w:r>
        <w:rPr>
          <w:b/>
          <w:bCs/>
        </w:rPr>
        <w:t>)</w:t>
      </w:r>
    </w:p>
    <w:p w14:paraId="3730D0ED" w14:textId="34FF00CB" w:rsidR="00B6135A" w:rsidRPr="00CE0716" w:rsidRDefault="00B6135A" w:rsidP="00CE0716">
      <w:pPr>
        <w:tabs>
          <w:tab w:val="left" w:pos="3320"/>
        </w:tabs>
        <w:rPr>
          <w:color w:val="767171" w:themeColor="background2" w:themeShade="80"/>
        </w:rPr>
      </w:pPr>
      <w:r w:rsidRPr="00CE0716">
        <w:rPr>
          <w:b/>
          <w:bCs/>
        </w:rPr>
        <w:t>Project title:</w:t>
      </w:r>
      <w:r w:rsidR="00E366EC" w:rsidRPr="00CE0716">
        <w:rPr>
          <w:b/>
          <w:bCs/>
        </w:rPr>
        <w:t xml:space="preserve"> </w:t>
      </w:r>
      <w:r w:rsidR="00CE0716" w:rsidRPr="00CE0716">
        <w:rPr>
          <w:rFonts w:ascii="Calibri" w:hAnsi="Calibri" w:cs="Calibri"/>
          <w:sz w:val="24"/>
          <w:szCs w:val="24"/>
        </w:rPr>
        <w:t>Fabrication and testing of new glassy electrolytes</w:t>
      </w:r>
    </w:p>
    <w:p w14:paraId="132E59C8" w14:textId="72BDCC1D" w:rsidR="001F4FF5" w:rsidRDefault="001F4FF5" w:rsidP="00C67B95">
      <w:pPr>
        <w:tabs>
          <w:tab w:val="left" w:pos="3320"/>
        </w:tabs>
      </w:pPr>
      <w:r>
        <w:rPr>
          <w:b/>
          <w:bCs/>
        </w:rPr>
        <w:t>Project description:</w:t>
      </w:r>
    </w:p>
    <w:p w14:paraId="50B1FF8A" w14:textId="77777777" w:rsidR="00CE0716" w:rsidRDefault="00CE0716" w:rsidP="00CE0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Glassy lithium ion conductors are an under-researched class of solid electrolyte which could offer</w:t>
      </w:r>
    </w:p>
    <w:p w14:paraId="796DE198" w14:textId="04E59FFB" w:rsidR="00CE0716" w:rsidRDefault="00CE0716" w:rsidP="00CE0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advantages over the crystalline ceramic electrolytes more commonly studied for application in all-solid-state batteries. Despite several investigations showing remarkable mechanical and</w:t>
      </w:r>
    </w:p>
    <w:p w14:paraId="07749030" w14:textId="77777777" w:rsidR="00CE0716" w:rsidRDefault="00CE0716" w:rsidP="00CE0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electrochemical stability in certain glassy systems over the past three decades, understanding of</w:t>
      </w:r>
    </w:p>
    <w:p w14:paraId="1DCC409B" w14:textId="77777777" w:rsidR="00CE0716" w:rsidRDefault="00CE0716" w:rsidP="00CE0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processing-structure-properties relationships pertaining to these materials is very limited, and</w:t>
      </w:r>
    </w:p>
    <w:p w14:paraId="3FD73281" w14:textId="77777777" w:rsidR="00CE0716" w:rsidRDefault="00CE0716" w:rsidP="00CE0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series of fundamental studies must be performed to address this. The student will have the</w:t>
      </w:r>
    </w:p>
    <w:p w14:paraId="3DB9618B" w14:textId="77777777" w:rsidR="00CE0716" w:rsidRDefault="00CE0716" w:rsidP="00CE0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opportunity to explore the synthesis of various glass compositions using a range of processing</w:t>
      </w:r>
    </w:p>
    <w:p w14:paraId="0BDFF3CE" w14:textId="77777777" w:rsidR="00CE0716" w:rsidRDefault="00CE0716" w:rsidP="00CE0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routes, which is likely to include physical vapour deposition (PVD) and melt-quenching.</w:t>
      </w:r>
    </w:p>
    <w:p w14:paraId="2998E54D" w14:textId="77777777" w:rsidR="00CE0716" w:rsidRDefault="00CE0716" w:rsidP="00CE0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Characterisation of the glasses will be performed by techniques such as scanning electron</w:t>
      </w:r>
    </w:p>
    <w:p w14:paraId="69A18F0A" w14:textId="77777777" w:rsidR="00CE0716" w:rsidRDefault="00CE0716" w:rsidP="00CE0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microscopy (SEM), X-ray photoelectron spectroscopy (XPS), differential scanning calorimetry (DSC),</w:t>
      </w:r>
    </w:p>
    <w:p w14:paraId="75F96B31" w14:textId="77777777" w:rsidR="00CE0716" w:rsidRDefault="00CE0716" w:rsidP="00CE0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electrochemical impedance spectroscopy (EIS) and nanoindentation. Promising compositions and</w:t>
      </w:r>
    </w:p>
    <w:p w14:paraId="69C91ACA" w14:textId="7C921A9A" w:rsidR="001F4FF5" w:rsidRDefault="00CE0716" w:rsidP="00CE0716">
      <w:pPr>
        <w:tabs>
          <w:tab w:val="left" w:pos="3320"/>
        </w:tabs>
        <w:rPr>
          <w:color w:val="767171" w:themeColor="background2" w:themeShade="80"/>
        </w:rPr>
      </w:pPr>
      <w:r>
        <w:rPr>
          <w:rFonts w:ascii="Calibri" w:hAnsi="Calibri" w:cs="Calibri"/>
        </w:rPr>
        <w:t>processing routes will be identified and studied in greater detail.</w:t>
      </w:r>
    </w:p>
    <w:p w14:paraId="2F17B296" w14:textId="5982F1D8" w:rsidR="001F4FF5" w:rsidRDefault="001F4FF5" w:rsidP="00C67B95">
      <w:pPr>
        <w:tabs>
          <w:tab w:val="left" w:pos="3320"/>
        </w:tabs>
        <w:rPr>
          <w:color w:val="767171" w:themeColor="background2" w:themeShade="80"/>
        </w:rPr>
      </w:pPr>
      <w:r>
        <w:rPr>
          <w:b/>
          <w:bCs/>
        </w:rPr>
        <w:t>Superviso</w:t>
      </w:r>
      <w:r w:rsidR="00CE0716">
        <w:rPr>
          <w:b/>
          <w:bCs/>
        </w:rPr>
        <w:t>rs</w:t>
      </w:r>
      <w:r>
        <w:rPr>
          <w:b/>
          <w:bCs/>
        </w:rPr>
        <w:t>:</w:t>
      </w:r>
      <w:r w:rsidR="00E366EC">
        <w:rPr>
          <w:b/>
          <w:bCs/>
        </w:rPr>
        <w:t xml:space="preserve"> </w:t>
      </w:r>
      <w:r w:rsidR="00CE0716" w:rsidRPr="00CE0716">
        <w:rPr>
          <w:bCs/>
        </w:rPr>
        <w:t>Dr.</w:t>
      </w:r>
      <w:r w:rsidR="00CB75A9">
        <w:rPr>
          <w:bCs/>
        </w:rPr>
        <w:t xml:space="preserve"> </w:t>
      </w:r>
      <w:r w:rsidR="00CE0716" w:rsidRPr="00CE0716">
        <w:rPr>
          <w:bCs/>
        </w:rPr>
        <w:t>Stephen Turrel</w:t>
      </w:r>
      <w:r w:rsidR="00CE0716">
        <w:rPr>
          <w:bCs/>
        </w:rPr>
        <w:t>l</w:t>
      </w:r>
      <w:r w:rsidR="00CE0716" w:rsidRPr="00CE0716">
        <w:rPr>
          <w:bCs/>
        </w:rPr>
        <w:t xml:space="preserve"> and Professor </w:t>
      </w:r>
      <w:r w:rsidR="003B30FB" w:rsidRPr="003B30FB">
        <w:rPr>
          <w:bCs/>
        </w:rPr>
        <w:t>Mauro P</w:t>
      </w:r>
      <w:r w:rsidR="00CE0716">
        <w:rPr>
          <w:bCs/>
        </w:rPr>
        <w:t>asta</w:t>
      </w:r>
      <w:r w:rsidR="00DF4CB7">
        <w:rPr>
          <w:color w:val="767171" w:themeColor="background2" w:themeShade="80"/>
        </w:rPr>
        <w:t xml:space="preserve"> </w:t>
      </w:r>
    </w:p>
    <w:p w14:paraId="72DE469E" w14:textId="77777777" w:rsidR="00CE0716" w:rsidRPr="00E366EC" w:rsidRDefault="00CE0716" w:rsidP="00C67B95">
      <w:pPr>
        <w:tabs>
          <w:tab w:val="left" w:pos="3320"/>
        </w:tabs>
        <w:rPr>
          <w:color w:val="767171" w:themeColor="background2" w:themeShade="80"/>
        </w:rPr>
      </w:pPr>
    </w:p>
    <w:p w14:paraId="6BAC75AE" w14:textId="55F0BE35" w:rsidR="00CE0716" w:rsidRDefault="00CE0716" w:rsidP="00CE0716">
      <w:pPr>
        <w:tabs>
          <w:tab w:val="left" w:pos="3320"/>
        </w:tabs>
        <w:rPr>
          <w:b/>
          <w:bCs/>
        </w:rPr>
      </w:pPr>
      <w:r>
        <w:rPr>
          <w:b/>
          <w:bCs/>
        </w:rPr>
        <w:t>2)</w:t>
      </w:r>
    </w:p>
    <w:p w14:paraId="55A96847" w14:textId="19FEAB2B" w:rsidR="00CE0716" w:rsidRDefault="00CE0716" w:rsidP="00CE0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E0716">
        <w:rPr>
          <w:b/>
          <w:bCs/>
        </w:rPr>
        <w:t xml:space="preserve">Project title: </w:t>
      </w:r>
      <w:r>
        <w:rPr>
          <w:rFonts w:ascii="Calibri" w:hAnsi="Calibri" w:cs="Calibri"/>
          <w:sz w:val="24"/>
          <w:szCs w:val="24"/>
        </w:rPr>
        <w:t>Role of grain boundaries on solid electrolyte conductivity</w:t>
      </w:r>
    </w:p>
    <w:p w14:paraId="59F96224" w14:textId="77777777" w:rsidR="00CE0716" w:rsidRDefault="00CE0716" w:rsidP="00CE0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3A2037" w14:textId="4CE05854" w:rsidR="00CE0716" w:rsidRDefault="00CE0716" w:rsidP="00CE0716">
      <w:pPr>
        <w:tabs>
          <w:tab w:val="left" w:pos="3320"/>
        </w:tabs>
      </w:pPr>
      <w:r>
        <w:rPr>
          <w:b/>
          <w:bCs/>
        </w:rPr>
        <w:t>Project description:</w:t>
      </w:r>
    </w:p>
    <w:p w14:paraId="3B0B9A35" w14:textId="77777777" w:rsidR="00CE0716" w:rsidRDefault="00CE0716" w:rsidP="00CE0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Solid-state lithium metal batteries (SSLMBs) are promising for high energy density and high power</w:t>
      </w:r>
    </w:p>
    <w:p w14:paraId="4727AB2F" w14:textId="77777777" w:rsidR="00CE0716" w:rsidRDefault="00CE0716" w:rsidP="00CE0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applications [Pasta et al. </w:t>
      </w:r>
      <w:r>
        <w:rPr>
          <w:rFonts w:ascii="Calibri-Italic" w:hAnsi="Calibri-Italic" w:cs="Calibri-Italic"/>
          <w:i/>
          <w:iCs/>
        </w:rPr>
        <w:t xml:space="preserve">J. Phys. Energy </w:t>
      </w:r>
      <w:r>
        <w:rPr>
          <w:rFonts w:ascii="Calibri" w:hAnsi="Calibri" w:cs="Calibri"/>
        </w:rPr>
        <w:t>2020], however they currently demonstrate poor</w:t>
      </w:r>
    </w:p>
    <w:p w14:paraId="57DF124C" w14:textId="77777777" w:rsidR="00CE0716" w:rsidRDefault="00CE0716" w:rsidP="00CE0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performance and lifetimes, with recent evidence suggesting grain boundaries in solid electrolytes</w:t>
      </w:r>
    </w:p>
    <w:p w14:paraId="23CDE0DA" w14:textId="77777777" w:rsidR="00CE0716" w:rsidRDefault="00CE0716" w:rsidP="00CE0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may be a contributing factor [Milan, Pasta </w:t>
      </w:r>
      <w:r>
        <w:rPr>
          <w:rFonts w:ascii="Calibri-Italic" w:hAnsi="Calibri-Italic" w:cs="Calibri-Italic"/>
          <w:i/>
          <w:iCs/>
        </w:rPr>
        <w:t xml:space="preserve">Mater. Futures </w:t>
      </w:r>
      <w:r>
        <w:rPr>
          <w:rFonts w:ascii="Calibri" w:hAnsi="Calibri" w:cs="Calibri"/>
        </w:rPr>
        <w:t>2023]. In some cases, grain boundaries</w:t>
      </w:r>
    </w:p>
    <w:p w14:paraId="2C37CC9C" w14:textId="77777777" w:rsidR="00CE0716" w:rsidRDefault="00CE0716" w:rsidP="00CE0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are ionically resistive, reducing rate capability, and it has been proposed that they have enhanced</w:t>
      </w:r>
    </w:p>
    <w:p w14:paraId="3DADB81D" w14:textId="77777777" w:rsidR="00CB75A9" w:rsidRDefault="00CE0716" w:rsidP="00CE0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electronic conductivity, enabling preferential intergranular lithium deposition.</w:t>
      </w:r>
    </w:p>
    <w:p w14:paraId="23AAB0C9" w14:textId="597764AD" w:rsidR="00CE0716" w:rsidRDefault="00CE0716" w:rsidP="00CB7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this project, the</w:t>
      </w:r>
      <w:r w:rsidR="00CB75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student will investigate the influence of grain boundaries on the ionic and electronic conductivities</w:t>
      </w:r>
      <w:r w:rsidR="00CB75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of solid electrolytes using conductive atomic force microscopy (C-AFM) [Shen, Liu et al. </w:t>
      </w:r>
      <w:r>
        <w:rPr>
          <w:rFonts w:ascii="Calibri-Italic" w:hAnsi="Calibri-Italic" w:cs="Calibri-Italic"/>
          <w:i/>
          <w:iCs/>
        </w:rPr>
        <w:t>Energy</w:t>
      </w:r>
      <w:r w:rsidR="00CB75A9">
        <w:rPr>
          <w:rFonts w:ascii="Calibri-Italic" w:hAnsi="Calibri-Italic" w:cs="Calibri-Italic"/>
          <w:i/>
          <w:iCs/>
        </w:rPr>
        <w:t xml:space="preserve"> </w:t>
      </w:r>
      <w:r>
        <w:rPr>
          <w:rFonts w:ascii="Calibri-Italic" w:hAnsi="Calibri-Italic" w:cs="Calibri-Italic"/>
          <w:i/>
          <w:iCs/>
        </w:rPr>
        <w:t xml:space="preserve">Storage Mater. </w:t>
      </w:r>
      <w:r>
        <w:rPr>
          <w:rFonts w:ascii="Calibri" w:hAnsi="Calibri" w:cs="Calibri"/>
        </w:rPr>
        <w:t>2021]. C-AFM can provide coupled morphological, mechanical, and electrical</w:t>
      </w:r>
      <w:r w:rsidR="00CB75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information, allowing the role of grain boundaries to be uncovered.</w:t>
      </w:r>
    </w:p>
    <w:p w14:paraId="545E3429" w14:textId="77777777" w:rsidR="00CB75A9" w:rsidRDefault="00CB75A9" w:rsidP="00CB7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41A184" w14:textId="34E6D209" w:rsidR="00CB75A9" w:rsidRDefault="00CE0716" w:rsidP="00CE0716">
      <w:pPr>
        <w:tabs>
          <w:tab w:val="left" w:pos="3320"/>
        </w:tabs>
        <w:rPr>
          <w:color w:val="767171" w:themeColor="background2" w:themeShade="80"/>
        </w:rPr>
      </w:pPr>
      <w:r>
        <w:rPr>
          <w:b/>
          <w:bCs/>
        </w:rPr>
        <w:t xml:space="preserve">Supervisors: </w:t>
      </w:r>
      <w:r w:rsidRPr="00CE0716">
        <w:rPr>
          <w:bCs/>
        </w:rPr>
        <w:t xml:space="preserve">Mr. Ben Jagger and Professor </w:t>
      </w:r>
      <w:r w:rsidRPr="003B30FB">
        <w:rPr>
          <w:bCs/>
        </w:rPr>
        <w:t>Mauro P</w:t>
      </w:r>
      <w:r>
        <w:rPr>
          <w:bCs/>
        </w:rPr>
        <w:t>asta</w:t>
      </w:r>
      <w:r>
        <w:rPr>
          <w:color w:val="767171" w:themeColor="background2" w:themeShade="80"/>
        </w:rPr>
        <w:t xml:space="preserve"> </w:t>
      </w:r>
    </w:p>
    <w:p w14:paraId="1614759E" w14:textId="77777777" w:rsidR="00CB75A9" w:rsidRDefault="00CB75A9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</w:p>
    <w:p w14:paraId="7F492A40" w14:textId="77777777" w:rsidR="00CE0716" w:rsidRDefault="00CE0716" w:rsidP="00CE0716">
      <w:pPr>
        <w:tabs>
          <w:tab w:val="left" w:pos="3320"/>
        </w:tabs>
        <w:rPr>
          <w:color w:val="767171" w:themeColor="background2" w:themeShade="80"/>
        </w:rPr>
      </w:pPr>
    </w:p>
    <w:p w14:paraId="07FB467E" w14:textId="4DCC0B57" w:rsidR="00CB75A9" w:rsidRDefault="00CB75A9" w:rsidP="00CE0716">
      <w:pPr>
        <w:tabs>
          <w:tab w:val="left" w:pos="3320"/>
        </w:tabs>
        <w:rPr>
          <w:color w:val="767171" w:themeColor="background2" w:themeShade="80"/>
        </w:rPr>
      </w:pPr>
    </w:p>
    <w:p w14:paraId="3BDE0651" w14:textId="51D4C0B6" w:rsidR="00CB75A9" w:rsidRDefault="00CB75A9" w:rsidP="00CB75A9">
      <w:pPr>
        <w:tabs>
          <w:tab w:val="left" w:pos="3320"/>
        </w:tabs>
        <w:rPr>
          <w:b/>
          <w:bCs/>
        </w:rPr>
      </w:pPr>
      <w:r>
        <w:rPr>
          <w:b/>
          <w:bCs/>
        </w:rPr>
        <w:t>3)</w:t>
      </w:r>
    </w:p>
    <w:p w14:paraId="4FA521C0" w14:textId="3B3FCB41" w:rsidR="00CB75A9" w:rsidRDefault="00CB75A9" w:rsidP="00CB7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E0716">
        <w:rPr>
          <w:b/>
          <w:bCs/>
        </w:rPr>
        <w:t xml:space="preserve">Project title: </w:t>
      </w:r>
      <w:r w:rsidRPr="00CB75A9">
        <w:rPr>
          <w:rFonts w:ascii="Calibri" w:hAnsi="Calibri" w:cs="Calibri"/>
          <w:sz w:val="24"/>
          <w:szCs w:val="24"/>
        </w:rPr>
        <w:t>Li-ion transport in the solid-electrolyte interphase</w:t>
      </w:r>
    </w:p>
    <w:p w14:paraId="0D0C91CE" w14:textId="77777777" w:rsidR="00CB75A9" w:rsidRDefault="00CB75A9" w:rsidP="00CB7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6423127" w14:textId="77777777" w:rsidR="00CB75A9" w:rsidRDefault="00CB75A9" w:rsidP="00CB75A9">
      <w:pPr>
        <w:tabs>
          <w:tab w:val="left" w:pos="3320"/>
        </w:tabs>
      </w:pPr>
      <w:r>
        <w:rPr>
          <w:b/>
          <w:bCs/>
        </w:rPr>
        <w:t>Project description:</w:t>
      </w:r>
    </w:p>
    <w:p w14:paraId="70E19F9A" w14:textId="77777777" w:rsidR="00CB75A9" w:rsidRPr="00CB75A9" w:rsidRDefault="00CB75A9" w:rsidP="00CB75A9">
      <w:pP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lang w:val="en-US" w:eastAsia="en-GB"/>
        </w:rPr>
      </w:pPr>
      <w:r w:rsidRPr="00CB75A9">
        <w:rPr>
          <w:rFonts w:ascii="Calibri" w:eastAsia="Calibri" w:hAnsi="Calibri" w:cs="Calibri"/>
          <w:color w:val="000000"/>
          <w:u w:color="000000"/>
          <w:lang w:val="en-US" w:eastAsia="en-GB"/>
        </w:rPr>
        <w:t>The practical implementation of metallic lithium anodes is limited by its inefficient plating and stripping behavior [</w:t>
      </w:r>
      <w:hyperlink r:id="rId12" w:history="1">
        <w:r w:rsidRPr="00CB75A9">
          <w:rPr>
            <w:rFonts w:ascii="Calibri" w:eastAsia="Calibri" w:hAnsi="Calibri" w:cs="Calibri"/>
            <w:color w:val="000000"/>
            <w:u w:val="single" w:color="000000"/>
            <w:lang w:val="en-US" w:eastAsia="en-GB"/>
          </w:rPr>
          <w:t xml:space="preserve">Liu et. al. </w:t>
        </w:r>
        <w:r w:rsidRPr="00CB75A9">
          <w:rPr>
            <w:rFonts w:ascii="Calibri" w:eastAsia="Calibri" w:hAnsi="Calibri" w:cs="Calibri"/>
            <w:i/>
            <w:iCs/>
            <w:color w:val="000000"/>
            <w:u w:val="single" w:color="000000"/>
            <w:lang w:val="en-US" w:eastAsia="en-GB"/>
          </w:rPr>
          <w:t>Nat. Energy</w:t>
        </w:r>
        <w:r w:rsidRPr="00CB75A9">
          <w:rPr>
            <w:rFonts w:ascii="Calibri" w:eastAsia="Calibri" w:hAnsi="Calibri" w:cs="Calibri"/>
            <w:color w:val="000000"/>
            <w:u w:val="single" w:color="000000"/>
            <w:lang w:val="en-US" w:eastAsia="en-GB"/>
          </w:rPr>
          <w:t xml:space="preserve"> (2019)</w:t>
        </w:r>
      </w:hyperlink>
      <w:r w:rsidRPr="00CB75A9">
        <w:rPr>
          <w:rFonts w:ascii="Calibri" w:eastAsia="Calibri" w:hAnsi="Calibri" w:cs="Calibri"/>
          <w:color w:val="000000"/>
          <w:u w:color="000000"/>
          <w:lang w:val="en-US" w:eastAsia="en-GB"/>
        </w:rPr>
        <w:t>]. A deeper understanding of lithium-ion transport through the solid-electrolyte-interphase (SEI) is necessary to guide future electrolyte design and ultimately enable a high cycling reversibility [</w:t>
      </w:r>
      <w:proofErr w:type="spellStart"/>
      <w:r w:rsidRPr="00CB75A9">
        <w:rPr>
          <w:rFonts w:ascii="Calibri" w:eastAsia="Calibri" w:hAnsi="Calibri" w:cs="Calibri"/>
          <w:color w:val="000000"/>
          <w:u w:color="000000"/>
          <w:lang w:val="en-US" w:eastAsia="en-GB"/>
        </w:rPr>
        <w:fldChar w:fldCharType="begin"/>
      </w:r>
      <w:r w:rsidRPr="00CB75A9">
        <w:rPr>
          <w:rFonts w:ascii="Calibri" w:eastAsia="Calibri" w:hAnsi="Calibri" w:cs="Calibri"/>
          <w:color w:val="000000"/>
          <w:u w:color="000000"/>
          <w:lang w:val="en-US" w:eastAsia="en-GB"/>
        </w:rPr>
        <w:instrText xml:space="preserve"> HYPERLINK "https://iopscience.iop.org/article/10.1149/2.0601814jes/pdf" </w:instrText>
      </w:r>
      <w:r w:rsidRPr="00CB75A9">
        <w:rPr>
          <w:rFonts w:ascii="Calibri" w:eastAsia="Calibri" w:hAnsi="Calibri" w:cs="Calibri"/>
          <w:color w:val="000000"/>
          <w:u w:color="000000"/>
          <w:lang w:val="en-US" w:eastAsia="en-GB"/>
        </w:rPr>
        <w:fldChar w:fldCharType="separate"/>
      </w:r>
      <w:proofErr w:type="spellEnd"/>
      <w:r w:rsidRPr="00CB75A9">
        <w:rPr>
          <w:rFonts w:ascii="Calibri" w:eastAsia="Calibri" w:hAnsi="Calibri" w:cs="Calibri"/>
          <w:color w:val="000000"/>
          <w:u w:val="single" w:color="000000"/>
          <w:lang w:val="en-US" w:eastAsia="en-GB"/>
        </w:rPr>
        <w:t xml:space="preserve">Maraschky, Alkolklar, </w:t>
      </w:r>
      <w:r w:rsidRPr="00CB75A9">
        <w:rPr>
          <w:rFonts w:ascii="Calibri" w:eastAsia="Calibri" w:hAnsi="Calibri" w:cs="Calibri"/>
          <w:i/>
          <w:iCs/>
          <w:color w:val="000000"/>
          <w:u w:val="single" w:color="000000"/>
          <w:lang w:val="en-US" w:eastAsia="en-GB"/>
        </w:rPr>
        <w:t>JECS</w:t>
      </w:r>
      <w:r w:rsidRPr="00CB75A9">
        <w:rPr>
          <w:rFonts w:ascii="Calibri" w:eastAsia="Calibri" w:hAnsi="Calibri" w:cs="Calibri"/>
          <w:color w:val="000000"/>
          <w:u w:val="single" w:color="000000"/>
          <w:lang w:val="en-US" w:eastAsia="en-GB"/>
        </w:rPr>
        <w:t xml:space="preserve"> (2018</w:t>
      </w:r>
      <w:r w:rsidRPr="00CB75A9">
        <w:rPr>
          <w:rFonts w:ascii="Calibri" w:eastAsia="Calibri" w:hAnsi="Calibri" w:cs="Calibri"/>
          <w:color w:val="000000"/>
          <w:u w:color="000000"/>
          <w:lang w:val="en-US" w:eastAsia="en-GB"/>
        </w:rPr>
        <w:fldChar w:fldCharType="end"/>
      </w:r>
      <w:r w:rsidRPr="00CB75A9">
        <w:rPr>
          <w:rFonts w:ascii="Calibri" w:eastAsia="Calibri" w:hAnsi="Calibri" w:cs="Calibri"/>
          <w:color w:val="000000"/>
          <w:u w:color="000000"/>
          <w:lang w:val="en-US" w:eastAsia="en-GB"/>
        </w:rPr>
        <w:t>)].</w:t>
      </w:r>
    </w:p>
    <w:p w14:paraId="2483D797" w14:textId="44F1D45C" w:rsidR="00CB75A9" w:rsidRDefault="00CB75A9" w:rsidP="00CB75A9">
      <w:pP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lang w:val="en-US" w:eastAsia="en-GB"/>
        </w:rPr>
      </w:pPr>
      <w:r w:rsidRPr="00CB75A9">
        <w:rPr>
          <w:rFonts w:ascii="Calibri" w:eastAsia="Calibri" w:hAnsi="Calibri" w:cs="Calibri"/>
          <w:color w:val="000000"/>
          <w:u w:color="000000"/>
          <w:lang w:val="en-US" w:eastAsia="en-GB"/>
        </w:rPr>
        <w:t>In this project, the student will investigate the formation and evolution of the SEI during open circuit and galvanostatic conditions, using an in-house designed test setup, and electrochemical impedance spectroscopy (EIS). EIS is a powerful characterization technique to study electrode surface processes occurring at different time scales.  Different electrolyte concentrations and operation temperatures will help to deconvolute multilateral contributions to lithium-ion transport through the SEI.</w:t>
      </w:r>
    </w:p>
    <w:p w14:paraId="0C6C97C1" w14:textId="77777777" w:rsidR="00CB75A9" w:rsidRPr="00CB75A9" w:rsidRDefault="00CB75A9" w:rsidP="00CB75A9">
      <w:pP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lang w:val="en-US" w:eastAsia="en-GB"/>
        </w:rPr>
      </w:pPr>
    </w:p>
    <w:p w14:paraId="73D7A0F2" w14:textId="41C21FFB" w:rsidR="00CB75A9" w:rsidRPr="00E366EC" w:rsidRDefault="00CB75A9" w:rsidP="00CB75A9">
      <w:pPr>
        <w:tabs>
          <w:tab w:val="left" w:pos="3320"/>
        </w:tabs>
        <w:rPr>
          <w:color w:val="767171" w:themeColor="background2" w:themeShade="80"/>
        </w:rPr>
      </w:pPr>
      <w:r>
        <w:rPr>
          <w:b/>
          <w:bCs/>
        </w:rPr>
        <w:t xml:space="preserve">Supervisors: </w:t>
      </w:r>
      <w:r w:rsidRPr="00CE0716">
        <w:rPr>
          <w:bCs/>
        </w:rPr>
        <w:t xml:space="preserve">Mr. </w:t>
      </w:r>
      <w:r>
        <w:rPr>
          <w:bCs/>
        </w:rPr>
        <w:t>Lorenz Olbrich</w:t>
      </w:r>
      <w:r w:rsidRPr="00CE0716">
        <w:rPr>
          <w:bCs/>
        </w:rPr>
        <w:t xml:space="preserve"> and Professor </w:t>
      </w:r>
      <w:r w:rsidRPr="003B30FB">
        <w:rPr>
          <w:bCs/>
        </w:rPr>
        <w:t>Mauro P</w:t>
      </w:r>
      <w:r>
        <w:rPr>
          <w:bCs/>
        </w:rPr>
        <w:t>asta</w:t>
      </w:r>
      <w:r>
        <w:rPr>
          <w:color w:val="767171" w:themeColor="background2" w:themeShade="80"/>
        </w:rPr>
        <w:t xml:space="preserve"> </w:t>
      </w:r>
    </w:p>
    <w:p w14:paraId="50E57685" w14:textId="77777777" w:rsidR="00CB75A9" w:rsidRDefault="00CB75A9" w:rsidP="00CE0716">
      <w:pPr>
        <w:tabs>
          <w:tab w:val="left" w:pos="3320"/>
        </w:tabs>
        <w:rPr>
          <w:b/>
          <w:bCs/>
        </w:rPr>
      </w:pPr>
    </w:p>
    <w:p w14:paraId="27DBF1F5" w14:textId="0E00ABB4" w:rsidR="00CB75A9" w:rsidRPr="00CB75A9" w:rsidRDefault="00CB75A9" w:rsidP="00CE0716">
      <w:pPr>
        <w:tabs>
          <w:tab w:val="left" w:pos="3320"/>
        </w:tabs>
        <w:rPr>
          <w:b/>
          <w:bCs/>
        </w:rPr>
      </w:pPr>
      <w:r w:rsidRPr="00CB75A9">
        <w:rPr>
          <w:b/>
          <w:bCs/>
        </w:rPr>
        <w:t>Details for all three projects</w:t>
      </w:r>
    </w:p>
    <w:p w14:paraId="3210E814" w14:textId="4DA41C02" w:rsidR="003B30FB" w:rsidRDefault="005848DC" w:rsidP="00C67B95">
      <w:pPr>
        <w:tabs>
          <w:tab w:val="left" w:pos="3320"/>
        </w:tabs>
        <w:rPr>
          <w:i/>
          <w:iCs/>
          <w:color w:val="000000" w:themeColor="text1"/>
        </w:rPr>
      </w:pPr>
      <w:r>
        <w:rPr>
          <w:b/>
          <w:bCs/>
        </w:rPr>
        <w:t xml:space="preserve">Location: </w:t>
      </w:r>
      <w:r w:rsidR="003B30FB" w:rsidRPr="003B30FB">
        <w:rPr>
          <w:iCs/>
          <w:color w:val="000000" w:themeColor="text1"/>
        </w:rPr>
        <w:t>Energy Storage Research Centre, University of Oxford</w:t>
      </w:r>
    </w:p>
    <w:p w14:paraId="6CEF53A6" w14:textId="5DF9EE4E" w:rsidR="00B138D5" w:rsidRPr="00B138D5" w:rsidRDefault="00B138D5" w:rsidP="00C67B95">
      <w:pPr>
        <w:tabs>
          <w:tab w:val="left" w:pos="3320"/>
        </w:tabs>
        <w:rPr>
          <w:b/>
          <w:bCs/>
        </w:rPr>
      </w:pPr>
      <w:r>
        <w:rPr>
          <w:b/>
          <w:bCs/>
        </w:rPr>
        <w:t xml:space="preserve">Start date: </w:t>
      </w:r>
      <w:r w:rsidRPr="002719FC">
        <w:rPr>
          <w:rFonts w:ascii="Calibri" w:hAnsi="Calibri" w:cs="Calibri"/>
          <w:color w:val="000000"/>
        </w:rPr>
        <w:t>The internship is a</w:t>
      </w:r>
      <w:r>
        <w:rPr>
          <w:rFonts w:ascii="Calibri" w:hAnsi="Calibri" w:cs="Calibri"/>
          <w:color w:val="000000"/>
        </w:rPr>
        <w:t xml:space="preserve"> </w:t>
      </w:r>
      <w:r w:rsidRPr="002719FC">
        <w:rPr>
          <w:rFonts w:ascii="Calibri" w:hAnsi="Calibri" w:cs="Calibri"/>
          <w:color w:val="000000"/>
        </w:rPr>
        <w:t xml:space="preserve">full-time role for 8 weeks </w:t>
      </w:r>
      <w:r w:rsidR="00DF4CB7">
        <w:rPr>
          <w:rFonts w:ascii="Calibri" w:hAnsi="Calibri" w:cs="Calibri"/>
        </w:rPr>
        <w:t>– flexible, June – September 202</w:t>
      </w:r>
      <w:r w:rsidR="00B8647E">
        <w:rPr>
          <w:rFonts w:ascii="Calibri" w:hAnsi="Calibri" w:cs="Calibri"/>
        </w:rPr>
        <w:t>3</w:t>
      </w:r>
      <w:r w:rsidRPr="002719FC">
        <w:rPr>
          <w:rFonts w:ascii="Calibri" w:hAnsi="Calibri" w:cs="Calibri"/>
          <w:color w:val="000000"/>
        </w:rPr>
        <w:t>.</w:t>
      </w:r>
    </w:p>
    <w:p w14:paraId="6EFA002B" w14:textId="086CBA22" w:rsidR="00AB6B9F" w:rsidRPr="00BA1BF3" w:rsidRDefault="00BA1BF3" w:rsidP="00AB6B9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Eligibility:</w:t>
      </w:r>
    </w:p>
    <w:p w14:paraId="128FD377" w14:textId="77777777" w:rsidR="00AB6B9F" w:rsidRDefault="00AB6B9F" w:rsidP="00AB6B9F">
      <w:pPr>
        <w:pStyle w:val="Default"/>
        <w:rPr>
          <w:sz w:val="22"/>
          <w:szCs w:val="22"/>
        </w:rPr>
      </w:pPr>
    </w:p>
    <w:p w14:paraId="07E5574D" w14:textId="77777777" w:rsidR="00AB6B9F" w:rsidRDefault="00AB6B9F" w:rsidP="00AB6B9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Be registered full-time undergraduate student from a UK university. </w:t>
      </w:r>
    </w:p>
    <w:p w14:paraId="0452EB2F" w14:textId="77777777" w:rsidR="00AB6B9F" w:rsidRDefault="00AB6B9F" w:rsidP="00AB6B9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Undertake the internship within the years of their undergraduate study (i.e., not in final year or during a subsequent Masters’ programme). </w:t>
      </w:r>
    </w:p>
    <w:p w14:paraId="7C15251D" w14:textId="77777777" w:rsidR="00AB6B9F" w:rsidRDefault="00AB6B9F" w:rsidP="00AB6B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Not have been a FUSE intern in a previous</w:t>
      </w:r>
      <w:bookmarkStart w:id="0" w:name="_GoBack"/>
      <w:bookmarkEnd w:id="0"/>
      <w:r>
        <w:rPr>
          <w:sz w:val="22"/>
          <w:szCs w:val="22"/>
        </w:rPr>
        <w:t xml:space="preserve"> year </w:t>
      </w:r>
    </w:p>
    <w:p w14:paraId="6196E416" w14:textId="77777777" w:rsidR="003F0AAD" w:rsidRDefault="003F0AAD" w:rsidP="00AB6B9F">
      <w:pPr>
        <w:pStyle w:val="Default"/>
        <w:rPr>
          <w:sz w:val="22"/>
          <w:szCs w:val="22"/>
        </w:rPr>
      </w:pPr>
    </w:p>
    <w:p w14:paraId="379B8AAF" w14:textId="551BCA1F" w:rsidR="0054050D" w:rsidRDefault="00BA1BF3" w:rsidP="00B0739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Funding:</w:t>
      </w:r>
    </w:p>
    <w:p w14:paraId="198940B9" w14:textId="76FF9789" w:rsidR="002719FC" w:rsidRPr="00304FB4" w:rsidRDefault="009D7C90" w:rsidP="002719FC">
      <w:pPr>
        <w:autoSpaceDE w:val="0"/>
        <w:autoSpaceDN w:val="0"/>
        <w:adjustRightInd w:val="0"/>
        <w:spacing w:after="0" w:line="240" w:lineRule="auto"/>
        <w:rPr>
          <w:i/>
          <w:iCs/>
          <w:color w:val="767171" w:themeColor="background2" w:themeShade="80"/>
        </w:rPr>
      </w:pPr>
      <w:r>
        <w:rPr>
          <w:rFonts w:ascii="Calibri" w:hAnsi="Calibri" w:cs="Calibri"/>
          <w:color w:val="000000"/>
        </w:rPr>
        <w:t>A</w:t>
      </w:r>
      <w:r w:rsidR="002719FC" w:rsidRPr="002719FC">
        <w:rPr>
          <w:rFonts w:ascii="Calibri" w:hAnsi="Calibri" w:cs="Calibri"/>
          <w:color w:val="000000"/>
        </w:rPr>
        <w:t xml:space="preserve"> salary of</w:t>
      </w:r>
      <w:r>
        <w:rPr>
          <w:rFonts w:ascii="Calibri" w:hAnsi="Calibri" w:cs="Calibri"/>
          <w:color w:val="000000"/>
        </w:rPr>
        <w:t xml:space="preserve"> </w:t>
      </w:r>
      <w:r w:rsidR="002719FC" w:rsidRPr="00020104">
        <w:rPr>
          <w:rFonts w:ascii="Calibri" w:hAnsi="Calibri" w:cs="Calibri" w:hint="eastAsia"/>
          <w:color w:val="000000"/>
        </w:rPr>
        <w:t>£</w:t>
      </w:r>
      <w:r w:rsidR="00CE0716" w:rsidRPr="00020104">
        <w:rPr>
          <w:rFonts w:ascii="Calibri" w:hAnsi="Calibri" w:cs="Calibri"/>
          <w:color w:val="000000"/>
        </w:rPr>
        <w:t>11.</w:t>
      </w:r>
      <w:r w:rsidR="00366CA9">
        <w:rPr>
          <w:rFonts w:ascii="Calibri" w:hAnsi="Calibri" w:cs="Calibri"/>
          <w:color w:val="000000"/>
        </w:rPr>
        <w:t>95/</w:t>
      </w:r>
      <w:r w:rsidR="00020104">
        <w:rPr>
          <w:rFonts w:ascii="Calibri" w:hAnsi="Calibri" w:cs="Calibri"/>
          <w:color w:val="000000"/>
        </w:rPr>
        <w:t>hour</w:t>
      </w:r>
      <w:r w:rsidR="002719FC" w:rsidRPr="002719FC">
        <w:rPr>
          <w:rFonts w:ascii="Calibri" w:hAnsi="Calibri" w:cs="Calibri"/>
          <w:color w:val="000000"/>
        </w:rPr>
        <w:t xml:space="preserve"> will be provided.  The funding is provided by </w:t>
      </w:r>
      <w:r w:rsidR="00B138D5">
        <w:rPr>
          <w:rFonts w:ascii="Calibri" w:hAnsi="Calibri" w:cs="Calibri"/>
          <w:color w:val="000000"/>
        </w:rPr>
        <w:t>t</w:t>
      </w:r>
      <w:r w:rsidR="002719FC" w:rsidRPr="002719FC">
        <w:rPr>
          <w:rFonts w:ascii="Calibri" w:hAnsi="Calibri" w:cs="Calibri"/>
          <w:color w:val="000000"/>
        </w:rPr>
        <w:t xml:space="preserve">he </w:t>
      </w:r>
      <w:hyperlink r:id="rId13" w:history="1">
        <w:r w:rsidR="002719FC" w:rsidRPr="00B0739E">
          <w:rPr>
            <w:rStyle w:val="Hyperlink"/>
            <w:rFonts w:ascii="Calibri" w:hAnsi="Calibri" w:cs="Calibri"/>
          </w:rPr>
          <w:t>Faraday Institution</w:t>
        </w:r>
      </w:hyperlink>
      <w:r w:rsidR="002719FC" w:rsidRPr="002719FC">
        <w:rPr>
          <w:rFonts w:ascii="Calibri" w:hAnsi="Calibri" w:cs="Calibri"/>
          <w:color w:val="000000"/>
        </w:rPr>
        <w:t>.</w:t>
      </w:r>
      <w:r w:rsidR="00D003C7">
        <w:rPr>
          <w:rFonts w:ascii="Calibri" w:hAnsi="Calibri" w:cs="Calibri"/>
          <w:color w:val="000000"/>
        </w:rPr>
        <w:t xml:space="preserve"> </w:t>
      </w:r>
    </w:p>
    <w:p w14:paraId="744290C1" w14:textId="5802F5A7" w:rsidR="00B0739E" w:rsidRDefault="00B0739E" w:rsidP="00271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D3ABFBE" w14:textId="51DAD914" w:rsidR="00BA651F" w:rsidRDefault="00BA651F" w:rsidP="00271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4ABD0A" w14:textId="32047E01" w:rsidR="00B0739E" w:rsidRPr="00B0739E" w:rsidRDefault="00B0739E" w:rsidP="00271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Additional </w:t>
      </w:r>
      <w:r w:rsidR="006A0E0D">
        <w:rPr>
          <w:rFonts w:ascii="Calibri" w:hAnsi="Calibri" w:cs="Calibri"/>
          <w:b/>
          <w:bCs/>
          <w:color w:val="000000"/>
        </w:rPr>
        <w:t>activities:</w:t>
      </w:r>
    </w:p>
    <w:p w14:paraId="6C687EDB" w14:textId="77777777" w:rsidR="00B6135A" w:rsidRDefault="00B6135A" w:rsidP="00271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84A770" w14:textId="685A6514" w:rsidR="002719FC" w:rsidRPr="002719FC" w:rsidRDefault="002719FC" w:rsidP="00271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719FC">
        <w:rPr>
          <w:rFonts w:ascii="Calibri" w:hAnsi="Calibri" w:cs="Calibri"/>
          <w:color w:val="000000"/>
        </w:rPr>
        <w:t xml:space="preserve">During the </w:t>
      </w:r>
      <w:r w:rsidR="00F77EF2">
        <w:rPr>
          <w:rFonts w:ascii="Calibri" w:hAnsi="Calibri" w:cs="Calibri"/>
          <w:color w:val="000000"/>
        </w:rPr>
        <w:t>FUSE internship</w:t>
      </w:r>
      <w:r w:rsidRPr="002719FC">
        <w:rPr>
          <w:rFonts w:ascii="Calibri" w:hAnsi="Calibri" w:cs="Calibri"/>
          <w:color w:val="000000"/>
        </w:rPr>
        <w:t xml:space="preserve"> you</w:t>
      </w:r>
      <w:r w:rsidR="006A0E0D">
        <w:rPr>
          <w:rFonts w:ascii="Calibri" w:hAnsi="Calibri" w:cs="Calibri"/>
          <w:color w:val="000000"/>
        </w:rPr>
        <w:t xml:space="preserve"> will be</w:t>
      </w:r>
      <w:r w:rsidRPr="002719FC">
        <w:rPr>
          <w:rFonts w:ascii="Calibri" w:hAnsi="Calibri" w:cs="Calibri"/>
          <w:color w:val="000000"/>
        </w:rPr>
        <w:t xml:space="preserve"> able to attend Faraday Masterclasses</w:t>
      </w:r>
      <w:r w:rsidR="00F77EF2">
        <w:rPr>
          <w:rFonts w:ascii="Calibri" w:hAnsi="Calibri" w:cs="Calibri"/>
          <w:color w:val="000000"/>
        </w:rPr>
        <w:t xml:space="preserve"> </w:t>
      </w:r>
      <w:r w:rsidRPr="002719FC">
        <w:rPr>
          <w:rFonts w:ascii="Calibri" w:hAnsi="Calibri" w:cs="Calibri"/>
          <w:color w:val="000000"/>
        </w:rPr>
        <w:t>and cohort</w:t>
      </w:r>
    </w:p>
    <w:p w14:paraId="54CD60EE" w14:textId="6EE4AE25" w:rsidR="006A0E0D" w:rsidRPr="002719FC" w:rsidRDefault="002719FC" w:rsidP="006A0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719FC">
        <w:rPr>
          <w:rFonts w:ascii="Calibri" w:hAnsi="Calibri" w:cs="Calibri"/>
          <w:color w:val="000000"/>
        </w:rPr>
        <w:t xml:space="preserve">events </w:t>
      </w:r>
      <w:r w:rsidR="00E366EC">
        <w:rPr>
          <w:rFonts w:ascii="Calibri" w:hAnsi="Calibri" w:cs="Calibri"/>
          <w:color w:val="000000"/>
        </w:rPr>
        <w:t>which will focus</w:t>
      </w:r>
      <w:r w:rsidRPr="002719FC">
        <w:rPr>
          <w:rFonts w:ascii="Calibri" w:hAnsi="Calibri" w:cs="Calibri"/>
          <w:color w:val="000000"/>
        </w:rPr>
        <w:t xml:space="preserve"> on a variety of topics to further develop your understanding of career opportunities in</w:t>
      </w:r>
      <w:r w:rsidR="006A0E0D">
        <w:rPr>
          <w:rFonts w:ascii="Calibri" w:hAnsi="Calibri" w:cs="Calibri"/>
          <w:color w:val="000000"/>
        </w:rPr>
        <w:t xml:space="preserve"> </w:t>
      </w:r>
      <w:r w:rsidRPr="002719FC">
        <w:rPr>
          <w:rFonts w:ascii="Calibri" w:hAnsi="Calibri" w:cs="Calibri"/>
          <w:color w:val="000000"/>
        </w:rPr>
        <w:t xml:space="preserve">battery </w:t>
      </w:r>
      <w:r w:rsidR="00E366EC">
        <w:rPr>
          <w:rFonts w:ascii="Calibri" w:hAnsi="Calibri" w:cs="Calibri"/>
          <w:color w:val="000000"/>
        </w:rPr>
        <w:t>sector</w:t>
      </w:r>
      <w:r w:rsidRPr="002719FC">
        <w:rPr>
          <w:rFonts w:ascii="Calibri" w:hAnsi="Calibri" w:cs="Calibri"/>
          <w:color w:val="000000"/>
        </w:rPr>
        <w:t xml:space="preserve">. </w:t>
      </w:r>
      <w:r w:rsidR="00F77EF2">
        <w:rPr>
          <w:rFonts w:ascii="Calibri" w:hAnsi="Calibri" w:cs="Calibri"/>
          <w:color w:val="000000"/>
        </w:rPr>
        <w:t xml:space="preserve"> </w:t>
      </w:r>
      <w:r w:rsidRPr="002719FC">
        <w:rPr>
          <w:rFonts w:ascii="Calibri" w:hAnsi="Calibri" w:cs="Calibri"/>
          <w:color w:val="000000"/>
        </w:rPr>
        <w:t>At the end of the programme, yo</w:t>
      </w:r>
      <w:r w:rsidR="006A0E0D">
        <w:rPr>
          <w:rFonts w:ascii="Calibri" w:hAnsi="Calibri" w:cs="Calibri"/>
          <w:color w:val="000000"/>
        </w:rPr>
        <w:t>u will</w:t>
      </w:r>
      <w:r w:rsidRPr="002719FC">
        <w:rPr>
          <w:rFonts w:ascii="Calibri" w:hAnsi="Calibri" w:cs="Calibri"/>
          <w:color w:val="000000"/>
        </w:rPr>
        <w:t xml:space="preserve"> be invited to </w:t>
      </w:r>
    </w:p>
    <w:p w14:paraId="0B11F336" w14:textId="49A906E1" w:rsidR="002719FC" w:rsidRDefault="002719FC" w:rsidP="00E36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719FC">
        <w:rPr>
          <w:rFonts w:ascii="Calibri" w:hAnsi="Calibri" w:cs="Calibri"/>
          <w:color w:val="000000"/>
        </w:rPr>
        <w:t xml:space="preserve">to share a poster </w:t>
      </w:r>
      <w:r w:rsidR="006A0E0D">
        <w:rPr>
          <w:rFonts w:ascii="Calibri" w:hAnsi="Calibri" w:cs="Calibri"/>
          <w:color w:val="000000"/>
        </w:rPr>
        <w:t>about your work</w:t>
      </w:r>
      <w:r w:rsidRPr="002719FC">
        <w:rPr>
          <w:rFonts w:ascii="Calibri" w:hAnsi="Calibri" w:cs="Calibri"/>
          <w:color w:val="000000"/>
        </w:rPr>
        <w:t xml:space="preserve"> </w:t>
      </w:r>
      <w:r w:rsidR="00E366EC">
        <w:rPr>
          <w:rFonts w:ascii="Calibri" w:hAnsi="Calibri" w:cs="Calibri"/>
          <w:color w:val="000000"/>
        </w:rPr>
        <w:t>and prizes</w:t>
      </w:r>
      <w:r w:rsidRPr="002719FC">
        <w:rPr>
          <w:rFonts w:ascii="Calibri" w:hAnsi="Calibri" w:cs="Calibri"/>
          <w:color w:val="000000"/>
        </w:rPr>
        <w:t xml:space="preserve"> will be</w:t>
      </w:r>
      <w:r w:rsidR="00E366EC">
        <w:rPr>
          <w:rFonts w:ascii="Calibri" w:hAnsi="Calibri" w:cs="Calibri"/>
          <w:color w:val="000000"/>
        </w:rPr>
        <w:t xml:space="preserve"> </w:t>
      </w:r>
      <w:r w:rsidRPr="002719FC">
        <w:rPr>
          <w:rFonts w:ascii="Calibri" w:hAnsi="Calibri" w:cs="Calibri"/>
          <w:color w:val="000000"/>
        </w:rPr>
        <w:t>awarded.</w:t>
      </w:r>
    </w:p>
    <w:p w14:paraId="0018C706" w14:textId="77777777" w:rsidR="00E366EC" w:rsidRPr="002719FC" w:rsidRDefault="00E366EC" w:rsidP="00E36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05ACC74" w14:textId="77777777" w:rsidR="003B30FB" w:rsidRDefault="003B30FB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br w:type="page"/>
      </w:r>
    </w:p>
    <w:p w14:paraId="5D9DBF2E" w14:textId="4EF461DA" w:rsidR="00967B34" w:rsidRPr="00FA17E4" w:rsidRDefault="00FA17E4" w:rsidP="00967B34">
      <w:pPr>
        <w:tabs>
          <w:tab w:val="left" w:pos="3320"/>
        </w:tabs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lastRenderedPageBreak/>
        <w:t>Application:</w:t>
      </w:r>
    </w:p>
    <w:p w14:paraId="44BE9853" w14:textId="3C9D0ECF" w:rsidR="003B30FB" w:rsidRDefault="00967B34" w:rsidP="00B175F8">
      <w:pPr>
        <w:ind w:right="95"/>
        <w:rPr>
          <w:rStyle w:val="Hyperlink"/>
          <w:iCs/>
          <w:lang w:val="en-US"/>
        </w:rPr>
      </w:pPr>
      <w:r w:rsidRPr="00FA17E4">
        <w:rPr>
          <w:iCs/>
          <w:lang w:val="en-US"/>
        </w:rPr>
        <w:t xml:space="preserve">In order to apply for a Faraday </w:t>
      </w:r>
      <w:r w:rsidR="00E37726">
        <w:rPr>
          <w:iCs/>
          <w:lang w:val="en-US"/>
        </w:rPr>
        <w:t>Undergraduate Summer Expe</w:t>
      </w:r>
      <w:r w:rsidR="00E37726" w:rsidRPr="00020104">
        <w:rPr>
          <w:iCs/>
          <w:lang w:val="en-US"/>
        </w:rPr>
        <w:t xml:space="preserve">rience (FUSE) </w:t>
      </w:r>
      <w:r w:rsidR="00D6592D" w:rsidRPr="00020104">
        <w:rPr>
          <w:iCs/>
          <w:lang w:val="en-US"/>
        </w:rPr>
        <w:t>202</w:t>
      </w:r>
      <w:r w:rsidR="00CB75A9" w:rsidRPr="00020104">
        <w:rPr>
          <w:iCs/>
          <w:lang w:val="en-US"/>
        </w:rPr>
        <w:t>3</w:t>
      </w:r>
      <w:r w:rsidR="00D6592D" w:rsidRPr="00020104">
        <w:rPr>
          <w:iCs/>
          <w:lang w:val="en-US"/>
        </w:rPr>
        <w:t xml:space="preserve"> internship</w:t>
      </w:r>
      <w:r w:rsidRPr="00020104">
        <w:rPr>
          <w:iCs/>
          <w:lang w:val="en-US"/>
        </w:rPr>
        <w:t>, you need to</w:t>
      </w:r>
      <w:r w:rsidR="00BA651F" w:rsidRPr="00020104">
        <w:rPr>
          <w:iCs/>
          <w:lang w:val="en-US"/>
        </w:rPr>
        <w:t xml:space="preserve"> send your Personal Statement (including an explanation of </w:t>
      </w:r>
      <w:r w:rsidR="00CB75A9" w:rsidRPr="00020104">
        <w:rPr>
          <w:iCs/>
          <w:lang w:val="en-US"/>
        </w:rPr>
        <w:t xml:space="preserve">which project you are applying for and </w:t>
      </w:r>
      <w:r w:rsidR="00BA651F" w:rsidRPr="00020104">
        <w:rPr>
          <w:iCs/>
          <w:lang w:val="en-US"/>
        </w:rPr>
        <w:t>why you would like to embark on this internship opportunity</w:t>
      </w:r>
      <w:r w:rsidR="00B8647E" w:rsidRPr="00020104">
        <w:rPr>
          <w:iCs/>
          <w:lang w:val="en-US"/>
        </w:rPr>
        <w:t>,</w:t>
      </w:r>
      <w:r w:rsidR="00BA651F" w:rsidRPr="00020104">
        <w:rPr>
          <w:iCs/>
          <w:lang w:val="en-US"/>
        </w:rPr>
        <w:t xml:space="preserve"> and some information about your background) and CV to </w:t>
      </w:r>
      <w:r w:rsidR="003E0158" w:rsidRPr="00020104">
        <w:rPr>
          <w:iCs/>
          <w:lang w:val="en-US"/>
        </w:rPr>
        <w:t>the SOLBAT project manager</w:t>
      </w:r>
      <w:r w:rsidR="009F069F" w:rsidRPr="00020104">
        <w:rPr>
          <w:iCs/>
          <w:lang w:val="en-US"/>
        </w:rPr>
        <w:t>, Neil Cadman</w:t>
      </w:r>
      <w:r w:rsidR="009F069F">
        <w:rPr>
          <w:iCs/>
          <w:lang w:val="en-US"/>
        </w:rPr>
        <w:t xml:space="preserve"> </w:t>
      </w:r>
      <w:hyperlink r:id="rId14" w:history="1">
        <w:r w:rsidR="009D7C90" w:rsidRPr="001D175B">
          <w:rPr>
            <w:rStyle w:val="Hyperlink"/>
            <w:iCs/>
            <w:lang w:val="en-US"/>
          </w:rPr>
          <w:t>neil.cadman@materials.ox.ac.uk</w:t>
        </w:r>
      </w:hyperlink>
      <w:r w:rsidR="003B30FB">
        <w:rPr>
          <w:iCs/>
          <w:lang w:val="en-US"/>
        </w:rPr>
        <w:t xml:space="preserve"> </w:t>
      </w:r>
    </w:p>
    <w:p w14:paraId="651FFBED" w14:textId="36F84B1A" w:rsidR="000B0511" w:rsidRPr="00B175F8" w:rsidRDefault="00BA651F" w:rsidP="00B175F8">
      <w:pPr>
        <w:ind w:right="95"/>
        <w:rPr>
          <w:i/>
          <w:color w:val="AEAAAA" w:themeColor="background2" w:themeShade="BF"/>
          <w:lang w:val="en-US"/>
        </w:rPr>
      </w:pPr>
      <w:r>
        <w:rPr>
          <w:iCs/>
          <w:lang w:val="en-US"/>
        </w:rPr>
        <w:t xml:space="preserve"> </w:t>
      </w:r>
      <w:r w:rsidRPr="009F069F">
        <w:rPr>
          <w:iCs/>
          <w:lang w:val="en-US"/>
        </w:rPr>
        <w:t xml:space="preserve">The deadline date for applications </w:t>
      </w:r>
      <w:r w:rsidRPr="00020104">
        <w:rPr>
          <w:iCs/>
          <w:lang w:val="en-US"/>
        </w:rPr>
        <w:t xml:space="preserve">is </w:t>
      </w:r>
      <w:r w:rsidR="009F069F" w:rsidRPr="00020104">
        <w:rPr>
          <w:b/>
          <w:iCs/>
          <w:lang w:val="en-US"/>
        </w:rPr>
        <w:t xml:space="preserve">April </w:t>
      </w:r>
      <w:r w:rsidR="00B8647E" w:rsidRPr="00020104">
        <w:rPr>
          <w:b/>
          <w:iCs/>
          <w:lang w:val="en-US"/>
        </w:rPr>
        <w:t>7</w:t>
      </w:r>
      <w:r w:rsidR="009F069F" w:rsidRPr="00020104">
        <w:rPr>
          <w:b/>
          <w:iCs/>
          <w:vertAlign w:val="superscript"/>
          <w:lang w:val="en-US"/>
        </w:rPr>
        <w:t>th</w:t>
      </w:r>
      <w:r w:rsidR="009F069F" w:rsidRPr="00020104">
        <w:rPr>
          <w:b/>
          <w:iCs/>
          <w:lang w:val="en-US"/>
        </w:rPr>
        <w:t xml:space="preserve"> 202</w:t>
      </w:r>
      <w:r w:rsidR="00CB75A9" w:rsidRPr="00020104">
        <w:rPr>
          <w:b/>
          <w:iCs/>
          <w:lang w:val="en-US"/>
        </w:rPr>
        <w:t>3</w:t>
      </w:r>
      <w:r w:rsidR="009F069F" w:rsidRPr="00020104">
        <w:rPr>
          <w:iCs/>
          <w:lang w:val="en-US"/>
        </w:rPr>
        <w:t>.</w:t>
      </w:r>
    </w:p>
    <w:p w14:paraId="7EF9A0A5" w14:textId="4E82D266" w:rsidR="00FA17E4" w:rsidRDefault="00FA17E4" w:rsidP="00FA17E4">
      <w:pPr>
        <w:tabs>
          <w:tab w:val="left" w:pos="3320"/>
        </w:tabs>
        <w:rPr>
          <w:b/>
          <w:bCs/>
        </w:rPr>
      </w:pPr>
      <w:r>
        <w:rPr>
          <w:b/>
          <w:bCs/>
        </w:rPr>
        <w:t>Diversity</w:t>
      </w:r>
    </w:p>
    <w:p w14:paraId="0BCE8540" w14:textId="6BB471BF" w:rsidR="00FA17E4" w:rsidRDefault="00FA17E4" w:rsidP="00FA17E4">
      <w:pPr>
        <w:tabs>
          <w:tab w:val="left" w:pos="3320"/>
        </w:tabs>
      </w:pPr>
      <w:r>
        <w:t>The Faraday Institution is committed to creating a dynamic and diverse pool of talent for the fields of battery technology and energy storage.</w:t>
      </w:r>
    </w:p>
    <w:p w14:paraId="21F6F11A" w14:textId="6C7A63D2" w:rsidR="00B6660C" w:rsidRDefault="00BA651F" w:rsidP="003B30FB">
      <w:pPr>
        <w:tabs>
          <w:tab w:val="left" w:pos="3320"/>
        </w:tabs>
        <w:rPr>
          <w:rFonts w:cstheme="minorHAnsi"/>
          <w:color w:val="383838"/>
          <w:shd w:val="clear" w:color="auto" w:fill="FFFFFF"/>
        </w:rPr>
      </w:pPr>
      <w:r w:rsidRPr="00BA651F">
        <w:rPr>
          <w:rStyle w:val="Strong"/>
          <w:rFonts w:cstheme="minorHAnsi"/>
          <w:color w:val="383838"/>
          <w:shd w:val="clear" w:color="auto" w:fill="FFFFFF"/>
        </w:rPr>
        <w:t>Equality, diversity and inclusion concerns every member of our community</w:t>
      </w:r>
      <w:r>
        <w:rPr>
          <w:rStyle w:val="Strong"/>
          <w:rFonts w:cstheme="minorHAnsi"/>
          <w:color w:val="383838"/>
          <w:shd w:val="clear" w:color="auto" w:fill="FFFFFF"/>
        </w:rPr>
        <w:t xml:space="preserve"> at the University of </w:t>
      </w:r>
      <w:r w:rsidR="003B30FB">
        <w:rPr>
          <w:rStyle w:val="Strong"/>
          <w:rFonts w:cstheme="minorHAnsi"/>
          <w:color w:val="383838"/>
          <w:shd w:val="clear" w:color="auto" w:fill="FFFFFF"/>
        </w:rPr>
        <w:t>Oxford</w:t>
      </w:r>
      <w:r w:rsidRPr="00BA651F">
        <w:rPr>
          <w:rStyle w:val="Strong"/>
          <w:rFonts w:cstheme="minorHAnsi"/>
          <w:color w:val="383838"/>
          <w:shd w:val="clear" w:color="auto" w:fill="FFFFFF"/>
        </w:rPr>
        <w:t>.</w:t>
      </w:r>
      <w:r w:rsidRPr="00BA651F">
        <w:rPr>
          <w:rFonts w:cstheme="minorHAnsi"/>
          <w:color w:val="383838"/>
          <w:shd w:val="clear" w:color="auto" w:fill="FFFFFF"/>
        </w:rPr>
        <w:t> </w:t>
      </w:r>
      <w:r w:rsidR="00B6660C" w:rsidRPr="00B6660C">
        <w:rPr>
          <w:rFonts w:cstheme="minorHAnsi"/>
          <w:color w:val="383838"/>
          <w:shd w:val="clear" w:color="auto" w:fill="FFFFFF"/>
        </w:rPr>
        <w:t>The University of Oxford is committed to fostering an inclusive culture which promotes equality, values diversity and maintains a working, learning and social environment in which the rights and dignity of all its staff and students are respected. We recognise that the broad range of experiences that a diverse staff and student body brings strengthens our research and enhances our teaching, and that in order for Oxford to remain a world-leading institution we must continue to provide a diverse, inclusive, fair and open environment that allows everyone to grow and flourish.</w:t>
      </w:r>
    </w:p>
    <w:p w14:paraId="72CC8D41" w14:textId="23A9C662" w:rsidR="003B30FB" w:rsidRDefault="008B1F69" w:rsidP="003B30FB">
      <w:pPr>
        <w:tabs>
          <w:tab w:val="left" w:pos="3320"/>
        </w:tabs>
        <w:rPr>
          <w:rFonts w:cstheme="minorHAnsi"/>
          <w:color w:val="383838"/>
          <w:shd w:val="clear" w:color="auto" w:fill="FFFFFF"/>
        </w:rPr>
      </w:pPr>
      <w:r>
        <w:rPr>
          <w:rFonts w:cstheme="minorHAnsi"/>
          <w:color w:val="383838"/>
          <w:shd w:val="clear" w:color="auto" w:fill="FFFFFF"/>
        </w:rPr>
        <w:t>For more information, go to our dedicated Diversity and Inclusion webpages</w:t>
      </w:r>
      <w:r w:rsidR="009F069F">
        <w:rPr>
          <w:rFonts w:cstheme="minorHAnsi"/>
          <w:color w:val="383838"/>
          <w:shd w:val="clear" w:color="auto" w:fill="FFFFFF"/>
        </w:rPr>
        <w:t xml:space="preserve"> </w:t>
      </w:r>
      <w:hyperlink r:id="rId15" w:history="1">
        <w:r w:rsidR="009F069F" w:rsidRPr="007514C7">
          <w:rPr>
            <w:rStyle w:val="Hyperlink"/>
            <w:rFonts w:cstheme="minorHAnsi"/>
            <w:shd w:val="clear" w:color="auto" w:fill="FFFFFF"/>
          </w:rPr>
          <w:t>https://edu.admin.ox.ac.uk/home</w:t>
        </w:r>
      </w:hyperlink>
    </w:p>
    <w:p w14:paraId="11DC47DD" w14:textId="28B88912" w:rsidR="00BB28BB" w:rsidRDefault="00BB28BB" w:rsidP="00BA651F">
      <w:pPr>
        <w:tabs>
          <w:tab w:val="left" w:pos="3320"/>
        </w:tabs>
      </w:pPr>
    </w:p>
    <w:p w14:paraId="323043BE" w14:textId="77777777" w:rsidR="003B30FB" w:rsidRDefault="003B30FB" w:rsidP="00BA651F">
      <w:pPr>
        <w:tabs>
          <w:tab w:val="left" w:pos="3320"/>
        </w:tabs>
        <w:rPr>
          <w:rFonts w:cstheme="minorHAnsi"/>
          <w:color w:val="383838"/>
          <w:shd w:val="clear" w:color="auto" w:fill="FFFFFF"/>
        </w:rPr>
      </w:pPr>
    </w:p>
    <w:p w14:paraId="5A0D365C" w14:textId="77777777" w:rsidR="00BA651F" w:rsidRPr="00BA651F" w:rsidRDefault="00BA651F" w:rsidP="00BA651F">
      <w:pPr>
        <w:tabs>
          <w:tab w:val="left" w:pos="3320"/>
        </w:tabs>
        <w:rPr>
          <w:rFonts w:cstheme="minorHAnsi"/>
          <w:i/>
          <w:iCs/>
          <w:color w:val="7F7F7F" w:themeColor="text1" w:themeTint="80"/>
        </w:rPr>
      </w:pPr>
    </w:p>
    <w:sectPr w:rsidR="00BA651F" w:rsidRPr="00BA651F" w:rsidSect="00E366EC">
      <w:headerReference w:type="default" r:id="rId16"/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292B7" w14:textId="77777777" w:rsidR="003D25CB" w:rsidRDefault="003D25CB" w:rsidP="00F44E5E">
      <w:pPr>
        <w:spacing w:after="0" w:line="240" w:lineRule="auto"/>
      </w:pPr>
      <w:r>
        <w:separator/>
      </w:r>
    </w:p>
  </w:endnote>
  <w:endnote w:type="continuationSeparator" w:id="0">
    <w:p w14:paraId="46588596" w14:textId="77777777" w:rsidR="003D25CB" w:rsidRDefault="003D25CB" w:rsidP="00F4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C91A6" w14:textId="77777777" w:rsidR="003D25CB" w:rsidRDefault="003D25CB" w:rsidP="00F44E5E">
      <w:pPr>
        <w:spacing w:after="0" w:line="240" w:lineRule="auto"/>
      </w:pPr>
      <w:r>
        <w:separator/>
      </w:r>
    </w:p>
  </w:footnote>
  <w:footnote w:type="continuationSeparator" w:id="0">
    <w:p w14:paraId="3C61FDEA" w14:textId="77777777" w:rsidR="003D25CB" w:rsidRDefault="003D25CB" w:rsidP="00F4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BDC9F" w14:textId="705EFCA4" w:rsidR="00F44E5E" w:rsidRPr="00B2106F" w:rsidRDefault="00BA651F">
    <w:pPr>
      <w:pStyle w:val="Header"/>
      <w:rPr>
        <w:i/>
        <w:iCs/>
      </w:rPr>
    </w:pPr>
    <w:r>
      <w:rPr>
        <w:i/>
        <w:iCs/>
        <w:noProof/>
        <w:lang w:eastAsia="en-GB"/>
      </w:rPr>
      <w:drawing>
        <wp:inline distT="0" distB="0" distL="0" distR="0" wp14:anchorId="7EC3620C" wp14:editId="7F31D1A0">
          <wp:extent cx="2304415" cy="481330"/>
          <wp:effectExtent l="0" t="0" r="635" b="0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7F8D1E"/>
    <w:multiLevelType w:val="hybridMultilevel"/>
    <w:tmpl w:val="33B552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CC1DB7"/>
    <w:multiLevelType w:val="hybridMultilevel"/>
    <w:tmpl w:val="BE1CE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B0E52"/>
    <w:multiLevelType w:val="hybridMultilevel"/>
    <w:tmpl w:val="BE1CE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75FE"/>
    <w:multiLevelType w:val="hybridMultilevel"/>
    <w:tmpl w:val="09ECE4C0"/>
    <w:lvl w:ilvl="0" w:tplc="6D7A565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34"/>
    <w:rsid w:val="0001168D"/>
    <w:rsid w:val="00012582"/>
    <w:rsid w:val="00020104"/>
    <w:rsid w:val="00034878"/>
    <w:rsid w:val="000452FF"/>
    <w:rsid w:val="000B0511"/>
    <w:rsid w:val="0013517F"/>
    <w:rsid w:val="001B48D0"/>
    <w:rsid w:val="001D4756"/>
    <w:rsid w:val="001F4FF5"/>
    <w:rsid w:val="0022175B"/>
    <w:rsid w:val="002719FC"/>
    <w:rsid w:val="0027389D"/>
    <w:rsid w:val="0029295C"/>
    <w:rsid w:val="002A629F"/>
    <w:rsid w:val="002A67BE"/>
    <w:rsid w:val="002D1335"/>
    <w:rsid w:val="00304FB4"/>
    <w:rsid w:val="00333E53"/>
    <w:rsid w:val="00340C06"/>
    <w:rsid w:val="00366CA9"/>
    <w:rsid w:val="003B30FB"/>
    <w:rsid w:val="003B35F5"/>
    <w:rsid w:val="003D25CB"/>
    <w:rsid w:val="003E0158"/>
    <w:rsid w:val="003F0AAD"/>
    <w:rsid w:val="00446CB1"/>
    <w:rsid w:val="0054050D"/>
    <w:rsid w:val="005848DC"/>
    <w:rsid w:val="00685BFA"/>
    <w:rsid w:val="006A0E0D"/>
    <w:rsid w:val="006B3702"/>
    <w:rsid w:val="006F2386"/>
    <w:rsid w:val="006F428A"/>
    <w:rsid w:val="007546A2"/>
    <w:rsid w:val="007B0A95"/>
    <w:rsid w:val="007E6B7D"/>
    <w:rsid w:val="008258E5"/>
    <w:rsid w:val="008512C6"/>
    <w:rsid w:val="008B1F69"/>
    <w:rsid w:val="00941F6F"/>
    <w:rsid w:val="00944BBD"/>
    <w:rsid w:val="00967B34"/>
    <w:rsid w:val="009D7C90"/>
    <w:rsid w:val="009F069F"/>
    <w:rsid w:val="009F7E01"/>
    <w:rsid w:val="00A0109B"/>
    <w:rsid w:val="00A54FF7"/>
    <w:rsid w:val="00AB6B9F"/>
    <w:rsid w:val="00B02ACC"/>
    <w:rsid w:val="00B0739E"/>
    <w:rsid w:val="00B0759B"/>
    <w:rsid w:val="00B07D5E"/>
    <w:rsid w:val="00B138D5"/>
    <w:rsid w:val="00B175F8"/>
    <w:rsid w:val="00B2106F"/>
    <w:rsid w:val="00B6135A"/>
    <w:rsid w:val="00B649C3"/>
    <w:rsid w:val="00B6660C"/>
    <w:rsid w:val="00B8647E"/>
    <w:rsid w:val="00BA1BF3"/>
    <w:rsid w:val="00BA651F"/>
    <w:rsid w:val="00BB28BB"/>
    <w:rsid w:val="00BC7272"/>
    <w:rsid w:val="00C0418B"/>
    <w:rsid w:val="00C210D3"/>
    <w:rsid w:val="00C6081F"/>
    <w:rsid w:val="00C67B95"/>
    <w:rsid w:val="00CA7145"/>
    <w:rsid w:val="00CB75A9"/>
    <w:rsid w:val="00CE0716"/>
    <w:rsid w:val="00CE4731"/>
    <w:rsid w:val="00CF10A9"/>
    <w:rsid w:val="00D003C7"/>
    <w:rsid w:val="00D31C88"/>
    <w:rsid w:val="00D6592D"/>
    <w:rsid w:val="00DC0CDB"/>
    <w:rsid w:val="00DF4CB7"/>
    <w:rsid w:val="00E2282E"/>
    <w:rsid w:val="00E25C30"/>
    <w:rsid w:val="00E366EC"/>
    <w:rsid w:val="00E37726"/>
    <w:rsid w:val="00EC66F9"/>
    <w:rsid w:val="00EF4C7A"/>
    <w:rsid w:val="00F0325D"/>
    <w:rsid w:val="00F240C7"/>
    <w:rsid w:val="00F27632"/>
    <w:rsid w:val="00F44E5E"/>
    <w:rsid w:val="00F51A42"/>
    <w:rsid w:val="00F729FB"/>
    <w:rsid w:val="00F77EF2"/>
    <w:rsid w:val="00F85167"/>
    <w:rsid w:val="00FA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F9547"/>
  <w15:chartTrackingRefBased/>
  <w15:docId w15:val="{830D8EBC-7689-4947-807B-30780860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B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B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7B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7B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E5E"/>
  </w:style>
  <w:style w:type="paragraph" w:styleId="Footer">
    <w:name w:val="footer"/>
    <w:basedOn w:val="Normal"/>
    <w:link w:val="FooterChar"/>
    <w:uiPriority w:val="99"/>
    <w:unhideWhenUsed/>
    <w:rsid w:val="00F44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E5E"/>
  </w:style>
  <w:style w:type="character" w:styleId="UnresolvedMention">
    <w:name w:val="Unresolved Mention"/>
    <w:basedOn w:val="DefaultParagraphFont"/>
    <w:uiPriority w:val="99"/>
    <w:semiHidden/>
    <w:unhideWhenUsed/>
    <w:rsid w:val="00E25C30"/>
    <w:rPr>
      <w:color w:val="605E5C"/>
      <w:shd w:val="clear" w:color="auto" w:fill="E1DFDD"/>
    </w:rPr>
  </w:style>
  <w:style w:type="paragraph" w:customStyle="1" w:styleId="Default">
    <w:name w:val="Default"/>
    <w:rsid w:val="00AB6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autoRedefine/>
    <w:rsid w:val="00DF4CB7"/>
    <w:pPr>
      <w:shd w:val="clear" w:color="auto" w:fill="FFFFFF"/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val="en-US" w:eastAsia="en-GB"/>
    </w:rPr>
  </w:style>
  <w:style w:type="character" w:styleId="Strong">
    <w:name w:val="Strong"/>
    <w:basedOn w:val="DefaultParagraphFont"/>
    <w:uiPriority w:val="22"/>
    <w:qFormat/>
    <w:rsid w:val="00BA651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86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4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raday.ac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ture.com/articles/s41560-019-0338-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aday.ac.uk/fuse-2022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.admin.ox.ac.uk/hom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eil.cadman@materials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273f2d-eaa2-4c58-8c26-b75a180cb8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27D6BCDC37047866B935ADDC31CDC" ma:contentTypeVersion="15" ma:contentTypeDescription="Create a new document." ma:contentTypeScope="" ma:versionID="f47d5892358b4c3d474797ab3be78107">
  <xsd:schema xmlns:xsd="http://www.w3.org/2001/XMLSchema" xmlns:xs="http://www.w3.org/2001/XMLSchema" xmlns:p="http://schemas.microsoft.com/office/2006/metadata/properties" xmlns:ns3="c0273f2d-eaa2-4c58-8c26-b75a180cb89f" xmlns:ns4="2d5a0034-deb8-4d94-bf7f-f951a6583a6c" targetNamespace="http://schemas.microsoft.com/office/2006/metadata/properties" ma:root="true" ma:fieldsID="460d950630920542bb63a2fd97bc9515" ns3:_="" ns4:_="">
    <xsd:import namespace="c0273f2d-eaa2-4c58-8c26-b75a180cb89f"/>
    <xsd:import namespace="2d5a0034-deb8-4d94-bf7f-f951a6583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3f2d-eaa2-4c58-8c26-b75a180cb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0034-deb8-4d94-bf7f-f951a6583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2203-5CEC-4BFC-8E00-205A2B60B391}">
  <ds:schemaRefs>
    <ds:schemaRef ds:uri="http://schemas.microsoft.com/office/2006/metadata/properties"/>
    <ds:schemaRef ds:uri="http://www.w3.org/XML/1998/namespace"/>
    <ds:schemaRef ds:uri="c0273f2d-eaa2-4c58-8c26-b75a180cb89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d5a0034-deb8-4d94-bf7f-f951a6583a6c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31C39A-F84B-4879-838D-C72B94A38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80F51-BB4B-41E4-806D-7E7960707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73f2d-eaa2-4c58-8c26-b75a180cb89f"/>
    <ds:schemaRef ds:uri="2d5a0034-deb8-4d94-bf7f-f951a6583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0A3850-33B2-4877-8419-694C9C4E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Long</dc:creator>
  <cp:keywords/>
  <dc:description/>
  <cp:lastModifiedBy>Neil Cadman</cp:lastModifiedBy>
  <cp:revision>4</cp:revision>
  <dcterms:created xsi:type="dcterms:W3CDTF">2023-02-27T18:00:00Z</dcterms:created>
  <dcterms:modified xsi:type="dcterms:W3CDTF">2023-03-02T08:40:00Z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0x01010056427D6BCDC37047866B935ADDC31CDC</vt:lpwstr>
  </property>
</Properties>
</file>